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7B" w:rsidRDefault="00C71D7B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71D7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append1"/>
            </w:pPr>
            <w:r>
              <w:t>Приложение 7</w:t>
            </w:r>
          </w:p>
          <w:p w:rsidR="00C71D7B" w:rsidRDefault="00C71D7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01.12.2021 № 85 </w:t>
            </w:r>
          </w:p>
        </w:tc>
      </w:tr>
    </w:tbl>
    <w:p w:rsidR="00C71D7B" w:rsidRDefault="00C71D7B">
      <w:pPr>
        <w:pStyle w:val="titlep"/>
        <w:jc w:val="left"/>
      </w:pPr>
      <w:r>
        <w:t>УКАЗАНИЯ</w:t>
      </w:r>
      <w:r>
        <w:br/>
        <w:t>по заполнению формы ведомственной отчетности «Отчет о реализации мероприятий по выполнению задачи 4 «Улучшение условий и охраны труда» комплекса мероприятий Государственной программы «Рынок труда и содействие занятости» на 2021–2025 годы»</w:t>
      </w:r>
    </w:p>
    <w:p w:rsidR="00C71D7B" w:rsidRDefault="00C71D7B">
      <w:pPr>
        <w:pStyle w:val="chapter"/>
      </w:pPr>
      <w:r>
        <w:t>ГЛАВА 1</w:t>
      </w:r>
      <w:r>
        <w:br/>
        <w:t>ОБЩИЕ ПОЛОЖЕНИЯ</w:t>
      </w:r>
    </w:p>
    <w:p w:rsidR="00C71D7B" w:rsidRDefault="00C71D7B">
      <w:pPr>
        <w:pStyle w:val="point"/>
      </w:pPr>
      <w:r>
        <w:t>1. Ведомственную отчетность «Отчет о реализации мероприятий по выполнению задачи 4 «Улучшение условий и охраны труда» комплекса мероприятий Государственной программы «Рынок труда и содействие занятости» на 2021–2025 годы» (далее – отчет) представляют:</w:t>
      </w:r>
    </w:p>
    <w:p w:rsidR="00C71D7B" w:rsidRDefault="00C71D7B">
      <w:pPr>
        <w:pStyle w:val="underpoint"/>
      </w:pPr>
      <w:r>
        <w:t>1.1. исполнители мероприятий Государственной программы «Рынок труда и содействие занятости» на 2021–2025 годы, утвержденной постановлением Совета Министров Республики Беларусь от 30 декабря 2020 г. № 777, по реализации задачи 4 (далее – мероприятия) – заказчикам мероприятий, в срок не позднее 5 февраля;</w:t>
      </w:r>
    </w:p>
    <w:p w:rsidR="00C71D7B" w:rsidRDefault="00C71D7B">
      <w:pPr>
        <w:pStyle w:val="underpoint"/>
      </w:pPr>
      <w:r>
        <w:t>1.2. заказчики мероприятий – агрегированную информацию Министерству труда и социальной защиты, которое является ответственным заказчиком мероприятий, в срок не позднее 15 февраля.</w:t>
      </w:r>
    </w:p>
    <w:p w:rsidR="00C71D7B" w:rsidRDefault="00C71D7B">
      <w:pPr>
        <w:pStyle w:val="point"/>
      </w:pPr>
      <w:r>
        <w:t>2. Для целей настоящих Указаний под исполнителями мероприятий понимаются:</w:t>
      </w:r>
    </w:p>
    <w:p w:rsidR="00C71D7B" w:rsidRDefault="00C71D7B">
      <w:pPr>
        <w:pStyle w:val="newncpi"/>
      </w:pPr>
      <w:r>
        <w:t>организации, подчиненные (входящие в состав (систему)) (далее – подчиненные организации) республиканским органам государственного управления и иным государственным организациям, подчиненным Правительству Республики Беларусь;</w:t>
      </w:r>
    </w:p>
    <w:p w:rsidR="00C71D7B" w:rsidRDefault="00C71D7B">
      <w:pPr>
        <w:pStyle w:val="newncpi"/>
      </w:pPr>
      <w:r>
        <w:t>подчиненные организации местным исполнительным и распорядительным органам;</w:t>
      </w:r>
    </w:p>
    <w:p w:rsidR="00C71D7B" w:rsidRDefault="00C71D7B">
      <w:pPr>
        <w:pStyle w:val="newncpi"/>
      </w:pPr>
      <w:r>
        <w:t>организации без ведомственной подчиненности с численностью 16 человек и более (за исключением товариществ, профсоюзных организаций, фондов, общин, общественных объединений, ассоциаций, кооперативов, стоянок).</w:t>
      </w:r>
    </w:p>
    <w:p w:rsidR="00C71D7B" w:rsidRDefault="00C71D7B">
      <w:pPr>
        <w:pStyle w:val="point"/>
      </w:pPr>
      <w:r>
        <w:t>3. Заказчики мероприятий определены в соответствии с подпунктом 2.2 пункта 2 постановления Совета Министров Республики Беларусь от 30 декабря 2020 г. № 777 «О Государственной программе «Рынок труда и содействие занятости» на 2021–2025 годы».</w:t>
      </w:r>
    </w:p>
    <w:p w:rsidR="00C71D7B" w:rsidRDefault="00C71D7B">
      <w:pPr>
        <w:pStyle w:val="point"/>
      </w:pPr>
      <w:r>
        <w:t>4. Представление отчета осуществляется:</w:t>
      </w:r>
    </w:p>
    <w:p w:rsidR="00C71D7B" w:rsidRDefault="00C71D7B">
      <w:pPr>
        <w:pStyle w:val="newncpi"/>
      </w:pPr>
      <w:r>
        <w:t>исполнителями мероприятий заказчикам мероприятий в электронном виде;</w:t>
      </w:r>
    </w:p>
    <w:p w:rsidR="00C71D7B" w:rsidRDefault="00C71D7B">
      <w:pPr>
        <w:pStyle w:val="newncpi"/>
      </w:pPr>
      <w:r>
        <w:t>заказчиками мероприятий в Министерство труда и социальной защиты в электронном виде посредством системы межведомственного электронного документооборота.</w:t>
      </w:r>
    </w:p>
    <w:p w:rsidR="00C71D7B" w:rsidRDefault="00C71D7B">
      <w:pPr>
        <w:pStyle w:val="point"/>
      </w:pPr>
      <w:r>
        <w:t>5. Строки 06–13 заполняются заказчиками мероприятий.</w:t>
      </w:r>
    </w:p>
    <w:p w:rsidR="00C71D7B" w:rsidRDefault="00C71D7B">
      <w:pPr>
        <w:pStyle w:val="point"/>
      </w:pPr>
      <w:r>
        <w:t>6. При заполнении строк 03–06 заказчики мероприятий отражают обобщенную информацию, в том числе учитывающую их собственную работу по выполнению мероприятий.</w:t>
      </w:r>
    </w:p>
    <w:p w:rsidR="00C71D7B" w:rsidRDefault="00C71D7B">
      <w:pPr>
        <w:pStyle w:val="chapter"/>
      </w:pPr>
      <w:r>
        <w:t>ГЛАВА 2</w:t>
      </w:r>
      <w:r>
        <w:br/>
        <w:t>ПОРЯДОК ЗАПОЛНЕНИЯ</w:t>
      </w:r>
    </w:p>
    <w:p w:rsidR="00C71D7B" w:rsidRDefault="00C71D7B">
      <w:pPr>
        <w:pStyle w:val="point"/>
      </w:pPr>
      <w:r>
        <w:t>7. Исполнители мероприятий по строке 01 отражают сведения о внедренных в организациях</w:t>
      </w:r>
      <w:r>
        <w:rPr>
          <w:vertAlign w:val="superscript"/>
        </w:rPr>
        <w:t>1</w:t>
      </w:r>
      <w:r>
        <w:t xml:space="preserve"> системах управления охраной труда в соответствии с требованиями законодательства.</w:t>
      </w:r>
    </w:p>
    <w:p w:rsidR="00C71D7B" w:rsidRDefault="00C71D7B">
      <w:pPr>
        <w:pStyle w:val="newncpi"/>
      </w:pPr>
      <w:r>
        <w:lastRenderedPageBreak/>
        <w:t>Заказчики мероприятий в строке 01 отражают общее количество организаций, в которых внедрены системы управления охраной труда в соответствии с требованиями законодательства.</w:t>
      </w:r>
    </w:p>
    <w:p w:rsidR="00C71D7B" w:rsidRDefault="00C71D7B">
      <w:pPr>
        <w:pStyle w:val="point"/>
      </w:pPr>
      <w:r>
        <w:t>8. Исполнители мероприятий по строке 02 отражают сведения о проведении анализа (аудита) функционирования систем управления охраной труда</w:t>
      </w:r>
      <w:r>
        <w:rPr>
          <w:vertAlign w:val="superscript"/>
        </w:rPr>
        <w:t>2</w:t>
      </w:r>
      <w:r>
        <w:t>, документально подтвержденные (локальный правовой акт, докладная записка и иные).</w:t>
      </w:r>
    </w:p>
    <w:p w:rsidR="00C71D7B" w:rsidRDefault="00C71D7B">
      <w:pPr>
        <w:pStyle w:val="newncpi"/>
      </w:pPr>
      <w:r>
        <w:t>Заказчики мероприятий по строке 02 отражают общее количество организаций, в которых проведен анализ (аудит) функционирования систем управления охраной труда. При этом облисполкомы, Минский горисполком на территориальном уровне отражают данные в отношении подчиненных организаций и организаций без ведомственной подчиненности.</w:t>
      </w:r>
    </w:p>
    <w:p w:rsidR="00C71D7B" w:rsidRDefault="00C71D7B">
      <w:pPr>
        <w:pStyle w:val="point"/>
      </w:pPr>
      <w:r>
        <w:t>9. Исполнители мероприятий по строке 03 отражают численность работников организаций, повысивших квалификацию по вопросам охраны труда.</w:t>
      </w:r>
    </w:p>
    <w:p w:rsidR="00C71D7B" w:rsidRDefault="00C71D7B">
      <w:pPr>
        <w:pStyle w:val="point"/>
      </w:pPr>
      <w:r>
        <w:t>10. Исполнители мероприятий по строке 04 отражают численность специалистов организаций, прошедших переподготовку по вопросам охраны труда в учреждениях образования, осуществляющих переподготовку по специальности «Охрана труда».</w:t>
      </w:r>
    </w:p>
    <w:p w:rsidR="00C71D7B" w:rsidRDefault="00C71D7B">
      <w:pPr>
        <w:pStyle w:val="point"/>
      </w:pPr>
      <w:r>
        <w:t>11. Исполнители мероприятий по строке 05 отражают количество проведенных «Недель нулевого травматизма» в организации.</w:t>
      </w:r>
    </w:p>
    <w:p w:rsidR="00C71D7B" w:rsidRDefault="00C71D7B">
      <w:pPr>
        <w:pStyle w:val="point"/>
      </w:pPr>
      <w:r>
        <w:t>12. Облисполкомы, Минский горисполком по строке 06 отражают данные о проведенных «Неделях нулевого травматизма» на областном уровне, по строке 07 на районном (городском) уровне.</w:t>
      </w:r>
    </w:p>
    <w:p w:rsidR="00C71D7B" w:rsidRDefault="00C71D7B">
      <w:pPr>
        <w:pStyle w:val="point"/>
      </w:pPr>
      <w:r>
        <w:t>13. Строка 08 заполняется заказчиками мероприятий, за исключением облисполкомов, Минского горисполкома, и содержит информацию о проведенных «Неделях нулевого травматизма» на отраслевом уровне с участием подчиненных (входящих в состав, систему) организаций.</w:t>
      </w:r>
    </w:p>
    <w:p w:rsidR="00C71D7B" w:rsidRDefault="00C71D7B">
      <w:pPr>
        <w:pStyle w:val="point"/>
      </w:pPr>
      <w:r>
        <w:t>14. По строке 09 отражается количество проведенных смотров-конкурсов по тематике охраны труда, из них по строке 10 на лучшую организацию работы по охране труда.</w:t>
      </w:r>
    </w:p>
    <w:p w:rsidR="00C71D7B" w:rsidRDefault="00C71D7B">
      <w:pPr>
        <w:pStyle w:val="point"/>
      </w:pPr>
      <w:r>
        <w:t>15. Строка 11 заполняется республиканскими органами государственного управления. Отражается количество принятых технических нормативных правовых актов, содержащих требования по охране труда.</w:t>
      </w:r>
    </w:p>
    <w:p w:rsidR="00C71D7B" w:rsidRDefault="00C71D7B">
      <w:pPr>
        <w:pStyle w:val="point"/>
      </w:pPr>
      <w:r>
        <w:t>16. В строке 12 отражается количество организаций, подчиненных (входящих в состав, систему) заказчикам.</w:t>
      </w:r>
    </w:p>
    <w:p w:rsidR="00C71D7B" w:rsidRDefault="00C71D7B">
      <w:pPr>
        <w:pStyle w:val="point"/>
      </w:pPr>
      <w:r>
        <w:t>17. Строка 13 заполняется облисполкомами, Мингорисполкомом. Отражается количество организаций без ведомственной подчиненности, с численностью 16 человек и более (за исключением товариществ, профсоюзных организаций, фондов, общин, общественных объединений, ассоциаций, кооперативов, стоянок), расположенных на территории соответствующей области (г. Минска).</w:t>
      </w:r>
    </w:p>
    <w:p w:rsidR="00C71D7B" w:rsidRDefault="00C71D7B">
      <w:pPr>
        <w:pStyle w:val="point"/>
      </w:pPr>
      <w:r>
        <w:t> </w:t>
      </w:r>
    </w:p>
    <w:p w:rsidR="00C71D7B" w:rsidRDefault="00C71D7B">
      <w:pPr>
        <w:pStyle w:val="snoskiline"/>
      </w:pPr>
      <w:r>
        <w:t>______________________________</w:t>
      </w:r>
    </w:p>
    <w:p w:rsidR="00C71D7B" w:rsidRDefault="00C71D7B">
      <w:pPr>
        <w:pStyle w:val="snoski"/>
      </w:pPr>
      <w:r>
        <w:rPr>
          <w:vertAlign w:val="superscript"/>
        </w:rPr>
        <w:t>1</w:t>
      </w:r>
      <w:r>
        <w:t xml:space="preserve"> Организации, созданные в отчетном году, строку 01 не заполняют.</w:t>
      </w:r>
    </w:p>
    <w:p w:rsidR="00C71D7B" w:rsidRDefault="00C71D7B">
      <w:pPr>
        <w:pStyle w:val="snoski"/>
        <w:spacing w:after="240"/>
      </w:pPr>
      <w:r>
        <w:rPr>
          <w:vertAlign w:val="superscript"/>
        </w:rPr>
        <w:t>2</w:t>
      </w:r>
      <w:r>
        <w:t xml:space="preserve"> Организации, созданные в отчетном году, строку 02 не заполняют.</w:t>
      </w:r>
    </w:p>
    <w:p w:rsidR="00C71D7B" w:rsidRDefault="00C71D7B">
      <w:pPr>
        <w:pStyle w:val="newncpi"/>
      </w:pPr>
      <w:r>
        <w:t> </w:t>
      </w:r>
    </w:p>
    <w:p w:rsidR="005D3105" w:rsidRDefault="005D3105"/>
    <w:sectPr w:rsidR="005D3105" w:rsidSect="00C71D7B">
      <w:headerReference w:type="even" r:id="rId7"/>
      <w:headerReference w:type="default" r:id="rId8"/>
      <w:footerReference w:type="first" r:id="rId9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1" w:rsidRDefault="00B423F1" w:rsidP="00C71D7B">
      <w:pPr>
        <w:spacing w:after="0" w:line="240" w:lineRule="auto"/>
      </w:pPr>
      <w:r>
        <w:separator/>
      </w:r>
    </w:p>
  </w:endnote>
  <w:endnote w:type="continuationSeparator" w:id="0">
    <w:p w:rsidR="00B423F1" w:rsidRDefault="00B423F1" w:rsidP="00C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9" w:rsidRDefault="002F350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1" w:rsidRDefault="00B423F1" w:rsidP="00C71D7B">
      <w:pPr>
        <w:spacing w:after="0" w:line="240" w:lineRule="auto"/>
      </w:pPr>
      <w:r>
        <w:separator/>
      </w:r>
    </w:p>
  </w:footnote>
  <w:footnote w:type="continuationSeparator" w:id="0">
    <w:p w:rsidR="00B423F1" w:rsidRDefault="00B423F1" w:rsidP="00C7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B" w:rsidRDefault="00C71D7B" w:rsidP="00151550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71D7B" w:rsidRDefault="00C71D7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B" w:rsidRPr="00C71D7B" w:rsidRDefault="00C71D7B" w:rsidP="00151550">
    <w:pPr>
      <w:pStyle w:val="af7"/>
      <w:framePr w:wrap="around" w:vAnchor="text" w:hAnchor="margin" w:xAlign="center" w:y="1"/>
      <w:rPr>
        <w:rStyle w:val="afb"/>
        <w:rFonts w:ascii="Times New Roman" w:hAnsi="Times New Roman" w:cs="Times New Roman"/>
        <w:sz w:val="24"/>
      </w:rPr>
    </w:pPr>
    <w:r w:rsidRPr="00C71D7B">
      <w:rPr>
        <w:rStyle w:val="afb"/>
        <w:rFonts w:ascii="Times New Roman" w:hAnsi="Times New Roman" w:cs="Times New Roman"/>
        <w:sz w:val="24"/>
      </w:rPr>
      <w:fldChar w:fldCharType="begin"/>
    </w:r>
    <w:r w:rsidRPr="00C71D7B">
      <w:rPr>
        <w:rStyle w:val="afb"/>
        <w:rFonts w:ascii="Times New Roman" w:hAnsi="Times New Roman" w:cs="Times New Roman"/>
        <w:sz w:val="24"/>
      </w:rPr>
      <w:instrText xml:space="preserve">PAGE  </w:instrText>
    </w:r>
    <w:r w:rsidRPr="00C71D7B">
      <w:rPr>
        <w:rStyle w:val="afb"/>
        <w:rFonts w:ascii="Times New Roman" w:hAnsi="Times New Roman" w:cs="Times New Roman"/>
        <w:sz w:val="24"/>
      </w:rPr>
      <w:fldChar w:fldCharType="separate"/>
    </w:r>
    <w:r w:rsidR="009E203D">
      <w:rPr>
        <w:rStyle w:val="afb"/>
        <w:rFonts w:ascii="Times New Roman" w:hAnsi="Times New Roman" w:cs="Times New Roman"/>
        <w:noProof/>
        <w:sz w:val="24"/>
      </w:rPr>
      <w:t>2</w:t>
    </w:r>
    <w:r w:rsidRPr="00C71D7B">
      <w:rPr>
        <w:rStyle w:val="afb"/>
        <w:rFonts w:ascii="Times New Roman" w:hAnsi="Times New Roman" w:cs="Times New Roman"/>
        <w:sz w:val="24"/>
      </w:rPr>
      <w:fldChar w:fldCharType="end"/>
    </w:r>
  </w:p>
  <w:p w:rsidR="00C71D7B" w:rsidRPr="00C71D7B" w:rsidRDefault="00C71D7B">
    <w:pPr>
      <w:pStyle w:val="af7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B"/>
    <w:rsid w:val="00036113"/>
    <w:rsid w:val="001220CB"/>
    <w:rsid w:val="002F3509"/>
    <w:rsid w:val="00401AEC"/>
    <w:rsid w:val="00497918"/>
    <w:rsid w:val="00591662"/>
    <w:rsid w:val="005D3105"/>
    <w:rsid w:val="00746587"/>
    <w:rsid w:val="007978B8"/>
    <w:rsid w:val="008276B6"/>
    <w:rsid w:val="00872554"/>
    <w:rsid w:val="009B2840"/>
    <w:rsid w:val="009E203D"/>
    <w:rsid w:val="00B423F1"/>
    <w:rsid w:val="00B52FC9"/>
    <w:rsid w:val="00B62766"/>
    <w:rsid w:val="00C6265E"/>
    <w:rsid w:val="00C71D7B"/>
    <w:rsid w:val="00D4696F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Глушанкова Оксана Валерьевна</dc:creator>
  <cp:lastModifiedBy>Фурс Андрей Иванович</cp:lastModifiedBy>
  <cp:revision>2</cp:revision>
  <cp:lastPrinted>2022-01-13T09:21:00Z</cp:lastPrinted>
  <dcterms:created xsi:type="dcterms:W3CDTF">2022-01-13T09:21:00Z</dcterms:created>
  <dcterms:modified xsi:type="dcterms:W3CDTF">2022-01-13T09:21:00Z</dcterms:modified>
</cp:coreProperties>
</file>