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Ex1.xml" ContentType="application/vnd.ms-office.chartex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31" w:rsidRDefault="00C44B31" w:rsidP="00C44B31">
      <w:pPr>
        <w:spacing w:after="148"/>
        <w:jc w:val="center"/>
      </w:pPr>
      <w:r>
        <w:rPr>
          <w:rStyle w:val="20"/>
          <w:rFonts w:eastAsia="Courier New"/>
          <w:b w:val="0"/>
          <w:bCs w:val="0"/>
        </w:rPr>
        <w:t>Финансовый отдел Слонимского районного исполнительного комитета</w:t>
      </w:r>
    </w:p>
    <w:p w:rsidR="00C44B31" w:rsidRDefault="00C44B31" w:rsidP="00C44B31">
      <w:pPr>
        <w:framePr w:h="1910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 wp14:anchorId="437F0F94" wp14:editId="7C857090">
            <wp:extent cx="1593273" cy="1658040"/>
            <wp:effectExtent l="0" t="0" r="6985" b="0"/>
            <wp:docPr id="26" name="Рисунок 1" descr="C:\Users\F415-U~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415-U~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76" cy="16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31" w:rsidRDefault="00C44B31" w:rsidP="00C44B31">
      <w:pPr>
        <w:jc w:val="center"/>
        <w:rPr>
          <w:sz w:val="2"/>
          <w:szCs w:val="2"/>
        </w:rPr>
      </w:pPr>
    </w:p>
    <w:p w:rsidR="00B87089" w:rsidRPr="00746301" w:rsidRDefault="00C44B31" w:rsidP="00C44B31">
      <w:pPr>
        <w:keepNext/>
        <w:keepLines/>
        <w:spacing w:before="840" w:after="850"/>
        <w:jc w:val="center"/>
        <w:rPr>
          <w:rStyle w:val="10"/>
          <w:rFonts w:eastAsia="Courier New"/>
          <w:bCs w:val="0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bookmark0"/>
      <w:r w:rsidRPr="00746301">
        <w:rPr>
          <w:rStyle w:val="10"/>
          <w:rFonts w:eastAsia="Courier New"/>
          <w:bCs w:val="0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СЛОНИМСКИЙ РАЙОН: </w:t>
      </w:r>
    </w:p>
    <w:p w:rsidR="00C44B31" w:rsidRPr="00746301" w:rsidRDefault="00C44B31" w:rsidP="00C44B31">
      <w:pPr>
        <w:keepNext/>
        <w:keepLines/>
        <w:spacing w:before="840" w:after="850"/>
        <w:jc w:val="center"/>
        <w:rPr>
          <w:rStyle w:val="10"/>
          <w:rFonts w:eastAsia="Courier New"/>
          <w:bCs w:val="0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6301">
        <w:rPr>
          <w:rStyle w:val="10"/>
          <w:rFonts w:eastAsia="Courier New"/>
          <w:bCs w:val="0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БЮДЖЕТ</w:t>
      </w:r>
    </w:p>
    <w:p w:rsidR="00C44B31" w:rsidRPr="00746301" w:rsidRDefault="00C44B31" w:rsidP="00C44B31">
      <w:pPr>
        <w:keepNext/>
        <w:keepLines/>
        <w:spacing w:before="840" w:after="850"/>
        <w:jc w:val="center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46301">
        <w:rPr>
          <w:rStyle w:val="10"/>
          <w:rFonts w:eastAsia="Courier New"/>
          <w:bCs w:val="0"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 ГРАЖДАН на 2024 год</w:t>
      </w:r>
      <w:bookmarkEnd w:id="0"/>
    </w:p>
    <w:p w:rsidR="009567C0" w:rsidRPr="00C44B31" w:rsidRDefault="001979D2" w:rsidP="00B8708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20297" cy="3737693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401" cy="38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C44B31">
      <w:pPr>
        <w:rPr>
          <w:rFonts w:ascii="Times New Roman" w:hAnsi="Times New Roman" w:cs="Times New Roman"/>
        </w:rPr>
      </w:pPr>
    </w:p>
    <w:p w:rsidR="00C44B31" w:rsidRPr="00C44B31" w:rsidRDefault="00B87089" w:rsidP="00B8708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1978BD" wp14:editId="4039E05F">
            <wp:extent cx="5682849" cy="61004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834" cy="611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Default="00C44B31">
      <w:pPr>
        <w:rPr>
          <w:rFonts w:ascii="Times New Roman" w:hAnsi="Times New Roman" w:cs="Times New Roman"/>
        </w:rPr>
      </w:pPr>
    </w:p>
    <w:p w:rsidR="00C44B31" w:rsidRPr="002B356B" w:rsidRDefault="00C44B31" w:rsidP="00C44B31">
      <w:pPr>
        <w:pStyle w:val="7"/>
        <w:shd w:val="clear" w:color="auto" w:fill="auto"/>
        <w:spacing w:before="0" w:after="0"/>
        <w:ind w:firstLine="709"/>
        <w:jc w:val="center"/>
        <w:rPr>
          <w:rStyle w:val="11"/>
          <w:b/>
          <w:color w:val="009900"/>
        </w:rPr>
      </w:pPr>
      <w:r w:rsidRPr="002B356B">
        <w:rPr>
          <w:rStyle w:val="11"/>
          <w:b/>
          <w:color w:val="009900"/>
        </w:rPr>
        <w:t>ОСНОВНЫЕ ОПРЕДЕЛЕНИЯ БЮДЖЕТНОГО ЗАКОНОДАТЕЛЬСТВА</w:t>
      </w:r>
    </w:p>
    <w:p w:rsidR="00C44B31" w:rsidRDefault="00C44B31" w:rsidP="00C44B31">
      <w:pPr>
        <w:pStyle w:val="7"/>
        <w:shd w:val="clear" w:color="auto" w:fill="auto"/>
        <w:spacing w:before="0" w:after="0"/>
        <w:ind w:firstLine="709"/>
        <w:rPr>
          <w:rStyle w:val="11"/>
          <w:b/>
        </w:rPr>
      </w:pPr>
    </w:p>
    <w:p w:rsidR="00C44B31" w:rsidRDefault="00C44B31" w:rsidP="00C44B31">
      <w:pPr>
        <w:pStyle w:val="7"/>
        <w:shd w:val="clear" w:color="auto" w:fill="auto"/>
        <w:spacing w:before="0" w:after="0"/>
        <w:ind w:firstLine="709"/>
      </w:pPr>
      <w:r w:rsidRPr="002B356B">
        <w:rPr>
          <w:rStyle w:val="11"/>
          <w:b/>
          <w:color w:val="009900"/>
        </w:rPr>
        <w:t>БЮДЖЕТ</w:t>
      </w:r>
      <w:r>
        <w:rPr>
          <w:rStyle w:val="11"/>
        </w:rPr>
        <w:t xml:space="preserve"> </w:t>
      </w:r>
      <w:r>
        <w:t>- план формирования и использования денежных средств для обеспечения реализации задач и функций государства, принимаемый на один финансовый год и действующий с 1 января по 31 декабря календарного года</w:t>
      </w:r>
    </w:p>
    <w:p w:rsidR="00C44B31" w:rsidRDefault="00C44B31" w:rsidP="00C44B31">
      <w:pPr>
        <w:pStyle w:val="7"/>
        <w:shd w:val="clear" w:color="auto" w:fill="auto"/>
        <w:spacing w:before="0" w:after="0"/>
        <w:ind w:firstLine="709"/>
      </w:pPr>
      <w:r w:rsidRPr="002B356B">
        <w:rPr>
          <w:rStyle w:val="11"/>
          <w:b/>
          <w:color w:val="009900"/>
        </w:rPr>
        <w:t>Бюджетная система Республики Беларусь</w:t>
      </w:r>
      <w:r>
        <w:rPr>
          <w:rStyle w:val="11"/>
        </w:rPr>
        <w:t xml:space="preserve"> </w:t>
      </w:r>
      <w:r>
        <w:t xml:space="preserve">- республиканский бюджет и местные бюджеты. Республиканский бюджет утверждается в форме закона, местные бюджеты </w:t>
      </w:r>
      <w:r w:rsidR="002B356B">
        <w:t>‒</w:t>
      </w:r>
      <w:r>
        <w:t xml:space="preserve"> в форме решений местных Советов депутатов</w:t>
      </w:r>
    </w:p>
    <w:p w:rsidR="00C44B31" w:rsidRDefault="00C44B31" w:rsidP="00C44B31">
      <w:pPr>
        <w:pStyle w:val="7"/>
        <w:shd w:val="clear" w:color="auto" w:fill="auto"/>
        <w:spacing w:before="0" w:after="0" w:line="336" w:lineRule="exact"/>
        <w:ind w:firstLine="709"/>
      </w:pPr>
      <w:r w:rsidRPr="002B356B">
        <w:rPr>
          <w:rStyle w:val="11"/>
          <w:b/>
          <w:color w:val="009900"/>
        </w:rPr>
        <w:t>Бюджетный процесс</w:t>
      </w:r>
      <w:r>
        <w:rPr>
          <w:rStyle w:val="11"/>
        </w:rPr>
        <w:t xml:space="preserve"> </w:t>
      </w:r>
      <w:r w:rsidR="002B356B">
        <w:t>‒</w:t>
      </w:r>
      <w:r>
        <w:t xml:space="preserve"> деятельность по составлению, рассмотрению, утверждению и исполнению бюджетов, контролю за их исполнением, а также составлению, рассмотрению и утверждению отчетов об их исполнении</w:t>
      </w:r>
    </w:p>
    <w:p w:rsidR="00C44B31" w:rsidRDefault="00C44B31" w:rsidP="00C44B31">
      <w:pPr>
        <w:pStyle w:val="7"/>
        <w:shd w:val="clear" w:color="auto" w:fill="auto"/>
        <w:spacing w:before="0" w:after="0" w:line="320" w:lineRule="exact"/>
        <w:ind w:firstLine="709"/>
      </w:pPr>
      <w:r w:rsidRPr="002B356B">
        <w:rPr>
          <w:rStyle w:val="11"/>
          <w:b/>
          <w:color w:val="009900"/>
        </w:rPr>
        <w:t>Доходы бюджета</w:t>
      </w:r>
      <w:r>
        <w:rPr>
          <w:rStyle w:val="11"/>
        </w:rPr>
        <w:t xml:space="preserve"> </w:t>
      </w:r>
      <w:r w:rsidR="002B356B">
        <w:t>‒</w:t>
      </w:r>
      <w:r>
        <w:t xml:space="preserve"> поступающие в бюджет денежные средства</w:t>
      </w:r>
    </w:p>
    <w:p w:rsidR="00C44B31" w:rsidRDefault="00C44B31" w:rsidP="00C44B31">
      <w:pPr>
        <w:pStyle w:val="7"/>
        <w:shd w:val="clear" w:color="auto" w:fill="auto"/>
        <w:spacing w:before="0" w:after="0"/>
        <w:ind w:firstLine="709"/>
      </w:pPr>
      <w:r w:rsidRPr="002B356B">
        <w:rPr>
          <w:rStyle w:val="11"/>
          <w:b/>
          <w:color w:val="009900"/>
        </w:rPr>
        <w:t>Расходы бюджета</w:t>
      </w:r>
      <w:r>
        <w:rPr>
          <w:rStyle w:val="11"/>
        </w:rPr>
        <w:t xml:space="preserve"> </w:t>
      </w:r>
      <w:r w:rsidR="002B356B">
        <w:t>‒</w:t>
      </w:r>
      <w:r>
        <w:t xml:space="preserve"> денежные средства, направляемые на финансовое обеспечение задач и функций государства</w:t>
      </w:r>
    </w:p>
    <w:p w:rsidR="00C44B31" w:rsidRDefault="00C44B31" w:rsidP="00C44B31">
      <w:pPr>
        <w:pStyle w:val="7"/>
        <w:shd w:val="clear" w:color="auto" w:fill="auto"/>
        <w:spacing w:before="0" w:after="0"/>
        <w:ind w:firstLine="709"/>
      </w:pPr>
      <w:r w:rsidRPr="002B356B">
        <w:rPr>
          <w:rStyle w:val="11"/>
          <w:b/>
          <w:color w:val="009900"/>
        </w:rPr>
        <w:t>Межбюджетные трансферты</w:t>
      </w:r>
      <w:r>
        <w:rPr>
          <w:rStyle w:val="11"/>
        </w:rPr>
        <w:t xml:space="preserve"> </w:t>
      </w:r>
      <w:r w:rsidR="002B356B">
        <w:t>‒</w:t>
      </w:r>
      <w:r>
        <w:t xml:space="preserve"> бюджетные средства, передаваемые из одного бюджета в другой бюджет на безвозвратной и безвозмездной основе</w:t>
      </w:r>
    </w:p>
    <w:p w:rsidR="00C44B31" w:rsidRDefault="00C44B31" w:rsidP="00C44B31">
      <w:pPr>
        <w:pStyle w:val="7"/>
        <w:shd w:val="clear" w:color="auto" w:fill="auto"/>
        <w:spacing w:before="0" w:after="0"/>
        <w:ind w:firstLine="709"/>
      </w:pPr>
      <w:r w:rsidRPr="002B356B">
        <w:rPr>
          <w:rStyle w:val="11"/>
          <w:b/>
          <w:color w:val="009900"/>
        </w:rPr>
        <w:t>Сбалансированный бюджет</w:t>
      </w:r>
      <w:r>
        <w:rPr>
          <w:rStyle w:val="11"/>
        </w:rPr>
        <w:t xml:space="preserve"> </w:t>
      </w:r>
      <w:r w:rsidR="002B356B">
        <w:t>‒</w:t>
      </w:r>
      <w:r>
        <w:t xml:space="preserve"> бюджет, в котором расходы равны его доходам и иным поступлениям в бюджет (источникам финансирования дефицита бюджета)</w:t>
      </w:r>
    </w:p>
    <w:p w:rsidR="00C44B31" w:rsidRDefault="00C44B31" w:rsidP="00C44B31">
      <w:pPr>
        <w:pStyle w:val="7"/>
        <w:shd w:val="clear" w:color="auto" w:fill="auto"/>
        <w:spacing w:before="0" w:after="0" w:line="320" w:lineRule="exact"/>
        <w:ind w:firstLine="709"/>
      </w:pPr>
      <w:r w:rsidRPr="002B356B">
        <w:rPr>
          <w:rStyle w:val="11"/>
          <w:b/>
          <w:color w:val="009900"/>
        </w:rPr>
        <w:t>Профицит бюджета</w:t>
      </w:r>
      <w:r>
        <w:rPr>
          <w:rStyle w:val="11"/>
        </w:rPr>
        <w:t xml:space="preserve"> </w:t>
      </w:r>
      <w:r w:rsidR="002B356B">
        <w:t>‒</w:t>
      </w:r>
      <w:r>
        <w:t xml:space="preserve"> превышение доходов бюджета над его расходами</w:t>
      </w:r>
    </w:p>
    <w:p w:rsidR="00C44B31" w:rsidRDefault="00C44B31" w:rsidP="00C44B31">
      <w:pPr>
        <w:pStyle w:val="7"/>
        <w:shd w:val="clear" w:color="auto" w:fill="auto"/>
        <w:spacing w:before="0" w:after="0" w:line="320" w:lineRule="exact"/>
        <w:ind w:firstLine="709"/>
      </w:pPr>
      <w:r w:rsidRPr="002B356B">
        <w:rPr>
          <w:rStyle w:val="11"/>
          <w:b/>
          <w:color w:val="009900"/>
        </w:rPr>
        <w:t>Дефицит бюджета</w:t>
      </w:r>
      <w:r>
        <w:rPr>
          <w:rStyle w:val="11"/>
        </w:rPr>
        <w:t xml:space="preserve"> </w:t>
      </w:r>
      <w:r w:rsidR="002B356B">
        <w:t>‒</w:t>
      </w:r>
      <w:r>
        <w:t xml:space="preserve"> превышение расходов бюджета над его доходами</w:t>
      </w:r>
    </w:p>
    <w:p w:rsidR="00C44B31" w:rsidRPr="00C44B31" w:rsidRDefault="00C44B31" w:rsidP="006004A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B356B">
        <w:rPr>
          <w:rStyle w:val="11"/>
          <w:rFonts w:eastAsia="Courier New"/>
          <w:b/>
          <w:color w:val="009900"/>
        </w:rPr>
        <w:t>Источники финансирования дефицита бюджета</w:t>
      </w:r>
      <w:r w:rsidRPr="00C44B31">
        <w:rPr>
          <w:rStyle w:val="11"/>
          <w:rFonts w:eastAsia="Courier New"/>
        </w:rPr>
        <w:t xml:space="preserve"> </w:t>
      </w:r>
      <w:r w:rsidR="002B356B">
        <w:rPr>
          <w:rStyle w:val="11"/>
          <w:rFonts w:eastAsia="Courier New"/>
        </w:rPr>
        <w:t xml:space="preserve">‒ </w:t>
      </w:r>
      <w:r w:rsidRPr="00C44B31">
        <w:rPr>
          <w:rFonts w:ascii="Times New Roman" w:hAnsi="Times New Roman" w:cs="Times New Roman"/>
          <w:sz w:val="32"/>
          <w:szCs w:val="32"/>
        </w:rPr>
        <w:t>дефицит бюджета обеспечивается финансированием за счет поступлений из соответствующих источников финансирования дефицита бюджета, к которым относятся заемные средства, остатки средств бюджета и др. Утверждение бюджета с дефицитом допускается при наличии источников финансирования дефицита бюджета</w:t>
      </w: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Default="00C44B31" w:rsidP="00C44B3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44B31" w:rsidRPr="002B356B" w:rsidRDefault="00C44B31" w:rsidP="00D503F1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2B356B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КОНСОЛИДИРОВАННЫЙ БЮДЖЕТ</w:t>
      </w:r>
    </w:p>
    <w:p w:rsidR="00C44B31" w:rsidRPr="002B356B" w:rsidRDefault="00C44B31" w:rsidP="00D503F1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2B356B">
        <w:rPr>
          <w:rFonts w:ascii="Times New Roman" w:hAnsi="Times New Roman" w:cs="Times New Roman"/>
          <w:b/>
          <w:color w:val="009900"/>
          <w:sz w:val="32"/>
          <w:szCs w:val="32"/>
        </w:rPr>
        <w:t>СЛОНИМСКОГО РАЙОНА НА 2024 ГОД</w:t>
      </w:r>
    </w:p>
    <w:p w:rsidR="00C44B31" w:rsidRPr="002B356B" w:rsidRDefault="00C44B31" w:rsidP="00C44B31">
      <w:pPr>
        <w:jc w:val="both"/>
        <w:rPr>
          <w:rFonts w:ascii="Times New Roman" w:hAnsi="Times New Roman" w:cs="Times New Roman"/>
          <w:color w:val="009900"/>
          <w:sz w:val="32"/>
          <w:szCs w:val="32"/>
        </w:rPr>
      </w:pP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2B356B">
        <w:rPr>
          <w:rStyle w:val="11"/>
          <w:color w:val="009900"/>
        </w:rPr>
        <w:t xml:space="preserve">БЮДЖЕТ ДЛЯ ГРАЖДАН </w:t>
      </w:r>
      <w:r w:rsidRPr="001770B5">
        <w:t>представляет собой информацию о формировании бюджета и использовании бюджетных средств, изложенную в максимально простой и понятной форме.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Бюджет Слонимского района на 2024 год сформирован в соответствии с Бюджетным кодексом Республики Беларусь с учетом ожидаемого исполнения бюджета в 2023 году, а также изменений и дополнений, вносимых в налоговое и бюджетное законодательство.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Данный бюджет создан в целях вовлечения населения в бюджетный процесс и повышения компетентности граждан в бюджетных вопросах. Он предоставляет возможность любому гражданину получить точную и понятную информацию о приоритетах бюджетно-налоговой политики, параметрах государственного бюджета, подходах по его формированию, распределению финансовых ресурсов страны, планируемых и достигнутых результатах использования бюджетных средств.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При формировании проекта бюджета на 2024 год за основу принят сценарий условий экономического развития, утвержденный Указом Президента Республики Беларусь от 2 октября 2023 г. № 307, который предполагает в 2024 году рост ВВП на уровне 103,8 процента, уровень инфляции (декабрь к декабрю) не более 6,0 процентов.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Объем собственных доходов бюджета будет формироваться под влиянием следующих факторов: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 xml:space="preserve">индексации ставок налогов, установленных в белорусских рублях, на 7-7,5% к уровню 2023 года: земельного налога, налога за добычу (изъятие) природных ресурсов, подоходного налога с физических лиц в фиксированных суммах, единого налога с индивидуальных предпринимателей и иных физических лиц, налога за владение собаками, ремесленного и </w:t>
      </w:r>
      <w:proofErr w:type="spellStart"/>
      <w:r w:rsidRPr="001770B5">
        <w:t>агроэкотуристического</w:t>
      </w:r>
      <w:proofErr w:type="spellEnd"/>
      <w:r w:rsidRPr="001770B5">
        <w:t xml:space="preserve"> сборов;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rPr>
          <w:rStyle w:val="21"/>
        </w:rPr>
        <w:t>трансформации отдельных малоэффективных налоговых льгот в пониженные ставки и отмены малоэффективных налоговых льгот;</w:t>
      </w:r>
    </w:p>
    <w:p w:rsidR="00C44B31" w:rsidRPr="001770B5" w:rsidRDefault="00C44B31" w:rsidP="00C44B31">
      <w:pPr>
        <w:pStyle w:val="7"/>
        <w:shd w:val="clear" w:color="auto" w:fill="auto"/>
        <w:spacing w:before="0" w:after="0" w:line="240" w:lineRule="auto"/>
        <w:ind w:firstLine="709"/>
      </w:pPr>
      <w:r w:rsidRPr="001770B5">
        <w:rPr>
          <w:rStyle w:val="21"/>
        </w:rPr>
        <w:t>увеличение ставки налога на прибыль для высокорентабельных организаций и предприятий всех форм собственности с 20% до 25% при получении прибыли более 25 миллионов рублей в год;</w:t>
      </w:r>
    </w:p>
    <w:p w:rsidR="00D503F1" w:rsidRPr="001770B5" w:rsidRDefault="00C44B31" w:rsidP="00D503F1">
      <w:pPr>
        <w:pStyle w:val="7"/>
        <w:shd w:val="clear" w:color="auto" w:fill="auto"/>
        <w:spacing w:before="0" w:after="0" w:line="240" w:lineRule="auto"/>
        <w:ind w:firstLine="709"/>
      </w:pPr>
      <w:r w:rsidRPr="001770B5">
        <w:rPr>
          <w:rStyle w:val="21"/>
        </w:rPr>
        <w:t>повышенное налогообложение подоходным налогом по ставке в размере 30% всех доходов, полученных индивидуальными</w:t>
      </w:r>
      <w:r w:rsidR="00D503F1">
        <w:rPr>
          <w:rStyle w:val="21"/>
        </w:rPr>
        <w:t xml:space="preserve"> </w:t>
      </w:r>
      <w:r w:rsidR="00D503F1" w:rsidRPr="001770B5">
        <w:rPr>
          <w:rStyle w:val="21"/>
        </w:rPr>
        <w:t xml:space="preserve">предпринимателями с начала 2024 года, если размер таких доходов </w:t>
      </w:r>
      <w:r w:rsidR="00D503F1" w:rsidRPr="001770B5">
        <w:rPr>
          <w:rStyle w:val="21"/>
        </w:rPr>
        <w:lastRenderedPageBreak/>
        <w:t>превысил 500 тысяч рублей в год.</w:t>
      </w:r>
      <w:r w:rsidR="00D503F1">
        <w:rPr>
          <w:rStyle w:val="21"/>
        </w:rPr>
        <w:t xml:space="preserve"> </w:t>
      </w:r>
      <w:r w:rsidR="00D503F1" w:rsidRPr="001770B5">
        <w:t>Кроме того, в целях реализации мер, направленных на сокращение дефицита кадров рабочих профессий, предусмотрено введение дополнительного ежемесячного налогового вычета по подоходному налогу в размере 620 рублей выпускникам высших, средних специальных и профессионально-технических учреждений, направленных на работу по распределению, в течение срока обязательной работы по распределению и срока последующего продления контракта, но не более семи лет.</w:t>
      </w:r>
    </w:p>
    <w:p w:rsidR="00D503F1" w:rsidRPr="001770B5" w:rsidRDefault="00D503F1" w:rsidP="00D503F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Бюджетная политика в 2024 году будет направлена на решение таких задач как:</w:t>
      </w:r>
    </w:p>
    <w:p w:rsidR="00D503F1" w:rsidRPr="001770B5" w:rsidRDefault="00D503F1" w:rsidP="00D503F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сохранение социальной ориентированности расходов, реализацию ряда мер, направленных на повышение качества жизни населения, благосостояния работников бюджетной сферы;</w:t>
      </w:r>
    </w:p>
    <w:p w:rsidR="00D503F1" w:rsidRPr="001770B5" w:rsidRDefault="00D503F1" w:rsidP="00D503F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расширение механизма нормативного финансирования в отраслях социальной сферы (путем включения в нормативное планирование расходов на здравоохранение, культуру, физическую культуру и спорт);</w:t>
      </w:r>
    </w:p>
    <w:p w:rsidR="00D503F1" w:rsidRPr="001770B5" w:rsidRDefault="00D503F1" w:rsidP="00D503F1">
      <w:pPr>
        <w:pStyle w:val="7"/>
        <w:shd w:val="clear" w:color="auto" w:fill="auto"/>
        <w:spacing w:before="0" w:after="0" w:line="240" w:lineRule="auto"/>
        <w:ind w:firstLine="709"/>
      </w:pPr>
      <w:r w:rsidRPr="001770B5">
        <w:t>обеспечение сбалансированности местных бюджетов в пределах имеющихся доходов и источников финансирования дефицита бюджета.</w:t>
      </w:r>
    </w:p>
    <w:p w:rsidR="00C44B31" w:rsidRDefault="00D503F1" w:rsidP="004F563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503F1">
        <w:rPr>
          <w:rFonts w:ascii="Times New Roman" w:hAnsi="Times New Roman" w:cs="Times New Roman"/>
          <w:sz w:val="32"/>
          <w:szCs w:val="32"/>
        </w:rPr>
        <w:t>Приоритетными направлениями бюджетной политики в 2024 году остаются социальная защищенность населения и повышение благосостояния граждан за счет увеличения размера заработной платы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066BD" w:rsidRDefault="00E066BD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356B" w:rsidRDefault="002B356B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356B" w:rsidRDefault="002B356B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066BD" w:rsidRDefault="00E066BD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Pr="00633DC5" w:rsidRDefault="00D503F1" w:rsidP="00D503F1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633DC5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КОНСОЛИДИРОВАННЫЙ БЮДЖЕТ</w:t>
      </w:r>
    </w:p>
    <w:p w:rsidR="00D503F1" w:rsidRPr="00633DC5" w:rsidRDefault="00D503F1" w:rsidP="00D503F1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633DC5">
        <w:rPr>
          <w:rFonts w:ascii="Times New Roman" w:hAnsi="Times New Roman" w:cs="Times New Roman"/>
          <w:b/>
          <w:color w:val="009900"/>
          <w:sz w:val="32"/>
          <w:szCs w:val="32"/>
        </w:rPr>
        <w:t>СЛОНИМСКОГО РАЙОНА НА 2024 ГОД</w:t>
      </w:r>
    </w:p>
    <w:p w:rsidR="00D503F1" w:rsidRDefault="00D503F1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03F1" w:rsidRPr="00633DC5" w:rsidRDefault="00D503F1" w:rsidP="00546C78">
      <w:pPr>
        <w:jc w:val="center"/>
        <w:rPr>
          <w:rFonts w:ascii="Times New Roman" w:hAnsi="Times New Roman" w:cs="Times New Roman"/>
          <w:i/>
          <w:color w:val="006600"/>
          <w:sz w:val="32"/>
          <w:szCs w:val="32"/>
          <w:u w:val="single"/>
        </w:rPr>
      </w:pPr>
      <w:r w:rsidRPr="00633DC5">
        <w:rPr>
          <w:rFonts w:ascii="Times New Roman" w:hAnsi="Times New Roman" w:cs="Times New Roman"/>
          <w:i/>
          <w:color w:val="006600"/>
          <w:sz w:val="32"/>
          <w:szCs w:val="32"/>
          <w:u w:val="single"/>
        </w:rPr>
        <w:t>Структура консолидированного бюджета Слонимского района</w:t>
      </w:r>
    </w:p>
    <w:p w:rsidR="00D503F1" w:rsidRDefault="00D503F1" w:rsidP="00D503F1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33589" cy="7889203"/>
            <wp:effectExtent l="38100" t="19050" r="4826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91D98" w:rsidRDefault="00E91D98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27C59" w:rsidRDefault="00327C59" w:rsidP="00D503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1D98" w:rsidRPr="002B356B" w:rsidRDefault="00E91D98" w:rsidP="00E91D98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2B356B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ДОХОДЫ БЮДЖЕТА</w:t>
      </w:r>
    </w:p>
    <w:p w:rsidR="00E91D98" w:rsidRPr="002B356B" w:rsidRDefault="00E91D98" w:rsidP="00E91D9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sz w:val="31"/>
          <w:szCs w:val="31"/>
        </w:rPr>
        <w:t>Доходная часть бюджета района сформирована исходя из действующего состава и количества налогов</w:t>
      </w:r>
      <w:r w:rsidR="00522CF0">
        <w:rPr>
          <w:sz w:val="31"/>
          <w:szCs w:val="31"/>
        </w:rPr>
        <w:t xml:space="preserve"> и</w:t>
      </w:r>
      <w:r w:rsidRPr="00B84E3D">
        <w:rPr>
          <w:sz w:val="31"/>
          <w:szCs w:val="31"/>
        </w:rPr>
        <w:t xml:space="preserve"> прогнозируется в сумме 168 434,9 тысячи рублей.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sz w:val="31"/>
          <w:szCs w:val="31"/>
        </w:rPr>
        <w:t>В структуре доходов бюджета района 52,4 процента (88</w:t>
      </w:r>
      <w:r w:rsidR="002B356B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367</w:t>
      </w:r>
      <w:r w:rsidR="002B356B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6 тысячи рублей) приходится на налоговые доходы, неналоговые доходы составляют 4,2 процента (7 021,2 тысячи рублей), 43,4 процента (73</w:t>
      </w:r>
      <w:r w:rsidR="00E066BD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046</w:t>
      </w:r>
      <w:r w:rsidR="00E066BD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1 тысячи рублей) занимают безвозмездные поступления из областного бюджета.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rStyle w:val="11"/>
          <w:sz w:val="31"/>
          <w:szCs w:val="31"/>
        </w:rPr>
        <w:t xml:space="preserve">Собственные доходы </w:t>
      </w:r>
      <w:r w:rsidRPr="00B84E3D">
        <w:rPr>
          <w:sz w:val="31"/>
          <w:szCs w:val="31"/>
        </w:rPr>
        <w:t>по проекту консолидированного бюджета района на 2024 год прогнозируются в размере 95 388,8 тысячи рублей или 56,6 процента от объема доходов.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sz w:val="31"/>
          <w:szCs w:val="31"/>
        </w:rPr>
        <w:t>В структуре собственных доходов района 92,6 процента (88 367,6 тысячи рублей) приходится на налоговые доходы, неналоговые доходы составят 7,4 процента (7</w:t>
      </w:r>
      <w:r w:rsidR="00E066BD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021</w:t>
      </w:r>
      <w:r w:rsidR="00E066BD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2 тысячи рублей).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sz w:val="31"/>
          <w:szCs w:val="31"/>
        </w:rPr>
        <w:t>Основными налоговыми источниками формирования доходов бюджета являются: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rStyle w:val="11"/>
          <w:sz w:val="31"/>
          <w:szCs w:val="31"/>
        </w:rPr>
        <w:t xml:space="preserve">подоходный налог </w:t>
      </w:r>
      <w:r w:rsidRPr="00B84E3D">
        <w:rPr>
          <w:sz w:val="31"/>
          <w:szCs w:val="31"/>
        </w:rPr>
        <w:t>- 52</w:t>
      </w:r>
      <w:r w:rsidR="002B356B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841</w:t>
      </w:r>
      <w:r w:rsidR="002B356B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5 тысячи рублей;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rStyle w:val="11"/>
          <w:sz w:val="31"/>
          <w:szCs w:val="31"/>
        </w:rPr>
        <w:t xml:space="preserve">налог на добавленную стоимость </w:t>
      </w:r>
      <w:r w:rsidRPr="00B84E3D">
        <w:rPr>
          <w:sz w:val="31"/>
          <w:szCs w:val="31"/>
        </w:rPr>
        <w:t>- 13</w:t>
      </w:r>
      <w:r w:rsidR="00E066BD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397</w:t>
      </w:r>
      <w:r w:rsidR="00E066BD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6 тысячи рублей;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rStyle w:val="11"/>
          <w:sz w:val="31"/>
          <w:szCs w:val="31"/>
        </w:rPr>
        <w:t>налоги на собственность (земельный налог и налог на недвижимость) </w:t>
      </w:r>
      <w:r w:rsidRPr="00B84E3D">
        <w:rPr>
          <w:sz w:val="31"/>
          <w:szCs w:val="31"/>
        </w:rPr>
        <w:t>- 9</w:t>
      </w:r>
      <w:r w:rsidR="002B356B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160</w:t>
      </w:r>
      <w:r w:rsidR="002B356B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0 тысячи рублей;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rStyle w:val="11"/>
          <w:sz w:val="31"/>
          <w:szCs w:val="31"/>
        </w:rPr>
        <w:t xml:space="preserve">налог на прибыль </w:t>
      </w:r>
      <w:r w:rsidRPr="00B84E3D">
        <w:rPr>
          <w:sz w:val="31"/>
          <w:szCs w:val="31"/>
        </w:rPr>
        <w:t>7</w:t>
      </w:r>
      <w:r w:rsidR="00E066BD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392</w:t>
      </w:r>
      <w:r w:rsidR="00E066BD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0 тысячи рублей.</w:t>
      </w:r>
    </w:p>
    <w:p w:rsidR="00E91D98" w:rsidRPr="00355C86" w:rsidRDefault="00E91D98" w:rsidP="00BE5071">
      <w:pPr>
        <w:pStyle w:val="7"/>
        <w:shd w:val="clear" w:color="auto" w:fill="auto"/>
        <w:spacing w:before="0" w:after="0" w:line="240" w:lineRule="auto"/>
        <w:ind w:firstLine="708"/>
        <w:rPr>
          <w:sz w:val="31"/>
          <w:szCs w:val="31"/>
        </w:rPr>
      </w:pPr>
      <w:r w:rsidRPr="00355C86">
        <w:rPr>
          <w:sz w:val="31"/>
          <w:szCs w:val="31"/>
        </w:rPr>
        <w:t xml:space="preserve">Поступления </w:t>
      </w:r>
      <w:r w:rsidRPr="00355C86">
        <w:rPr>
          <w:rStyle w:val="11"/>
          <w:sz w:val="31"/>
          <w:szCs w:val="31"/>
        </w:rPr>
        <w:t xml:space="preserve">неналоговых </w:t>
      </w:r>
      <w:r w:rsidRPr="00355C86">
        <w:rPr>
          <w:sz w:val="31"/>
          <w:szCs w:val="31"/>
        </w:rPr>
        <w:t>доходов прогнозируются в сумме 7</w:t>
      </w:r>
      <w:r w:rsidR="00E066BD" w:rsidRPr="00355C86">
        <w:rPr>
          <w:sz w:val="31"/>
          <w:szCs w:val="31"/>
        </w:rPr>
        <w:t> </w:t>
      </w:r>
      <w:r w:rsidRPr="00355C86">
        <w:rPr>
          <w:sz w:val="31"/>
          <w:szCs w:val="31"/>
        </w:rPr>
        <w:t>021</w:t>
      </w:r>
      <w:r w:rsidR="00E066BD" w:rsidRPr="00355C86">
        <w:rPr>
          <w:sz w:val="31"/>
          <w:szCs w:val="31"/>
        </w:rPr>
        <w:t>,</w:t>
      </w:r>
      <w:r w:rsidRPr="00355C86">
        <w:rPr>
          <w:sz w:val="31"/>
          <w:szCs w:val="31"/>
        </w:rPr>
        <w:t>2 тысячи рублей, в том числе:</w:t>
      </w:r>
    </w:p>
    <w:p w:rsidR="00B21C30" w:rsidRDefault="00B21C30" w:rsidP="00B21C30">
      <w:pPr>
        <w:pStyle w:val="7"/>
        <w:shd w:val="clear" w:color="auto" w:fill="auto"/>
        <w:spacing w:before="0" w:after="0" w:line="240" w:lineRule="auto"/>
        <w:ind w:firstLine="709"/>
        <w:rPr>
          <w:rStyle w:val="11"/>
          <w:sz w:val="31"/>
          <w:szCs w:val="31"/>
        </w:rPr>
      </w:pPr>
      <w:r>
        <w:rPr>
          <w:rStyle w:val="11"/>
          <w:sz w:val="31"/>
          <w:szCs w:val="31"/>
        </w:rPr>
        <w:t>п</w:t>
      </w:r>
      <w:r w:rsidRPr="00355C86">
        <w:rPr>
          <w:rStyle w:val="11"/>
          <w:sz w:val="31"/>
          <w:szCs w:val="31"/>
        </w:rPr>
        <w:t>роценты за пользование денежными средствами бюджетов</w:t>
      </w:r>
      <w:r>
        <w:rPr>
          <w:rStyle w:val="11"/>
          <w:sz w:val="31"/>
          <w:szCs w:val="31"/>
        </w:rPr>
        <w:t xml:space="preserve"> </w:t>
      </w:r>
      <w:r w:rsidR="00BE5071">
        <w:rPr>
          <w:rStyle w:val="11"/>
          <w:sz w:val="31"/>
          <w:szCs w:val="31"/>
        </w:rPr>
        <w:t>–</w:t>
      </w:r>
      <w:r>
        <w:rPr>
          <w:rStyle w:val="11"/>
          <w:sz w:val="31"/>
          <w:szCs w:val="31"/>
        </w:rPr>
        <w:t xml:space="preserve"> </w:t>
      </w:r>
      <w:r w:rsidR="00BE5071">
        <w:rPr>
          <w:rStyle w:val="11"/>
          <w:sz w:val="31"/>
          <w:szCs w:val="31"/>
        </w:rPr>
        <w:t>210,0</w:t>
      </w:r>
      <w:r w:rsidR="00BE5071" w:rsidRPr="00BE5071">
        <w:rPr>
          <w:sz w:val="31"/>
          <w:szCs w:val="31"/>
        </w:rPr>
        <w:t xml:space="preserve"> </w:t>
      </w:r>
      <w:r w:rsidR="00BE5071" w:rsidRPr="00B21C30">
        <w:rPr>
          <w:sz w:val="31"/>
          <w:szCs w:val="31"/>
        </w:rPr>
        <w:t>тысячи рублей</w:t>
      </w:r>
      <w:r>
        <w:rPr>
          <w:rStyle w:val="11"/>
          <w:sz w:val="31"/>
          <w:szCs w:val="31"/>
        </w:rPr>
        <w:t>;</w:t>
      </w:r>
    </w:p>
    <w:p w:rsidR="00B21C30" w:rsidRDefault="00B21C30" w:rsidP="00B21C30">
      <w:pPr>
        <w:pStyle w:val="7"/>
        <w:shd w:val="clear" w:color="auto" w:fill="auto"/>
        <w:spacing w:before="0" w:after="0" w:line="240" w:lineRule="auto"/>
        <w:ind w:firstLine="709"/>
        <w:rPr>
          <w:rStyle w:val="11"/>
          <w:sz w:val="31"/>
          <w:szCs w:val="31"/>
        </w:rPr>
      </w:pPr>
      <w:r>
        <w:rPr>
          <w:rStyle w:val="11"/>
          <w:sz w:val="31"/>
          <w:szCs w:val="31"/>
        </w:rPr>
        <w:t xml:space="preserve">дивиденды по акциям </w:t>
      </w:r>
      <w:r w:rsidR="00BE5071">
        <w:rPr>
          <w:rStyle w:val="11"/>
          <w:sz w:val="31"/>
          <w:szCs w:val="31"/>
        </w:rPr>
        <w:t>–</w:t>
      </w:r>
      <w:r>
        <w:rPr>
          <w:rStyle w:val="11"/>
          <w:sz w:val="31"/>
          <w:szCs w:val="31"/>
        </w:rPr>
        <w:t xml:space="preserve"> </w:t>
      </w:r>
      <w:r w:rsidR="00BE5071">
        <w:rPr>
          <w:rStyle w:val="11"/>
          <w:sz w:val="31"/>
          <w:szCs w:val="31"/>
        </w:rPr>
        <w:t xml:space="preserve">250,0 </w:t>
      </w:r>
      <w:r w:rsidR="00BE5071" w:rsidRPr="00B21C30">
        <w:rPr>
          <w:sz w:val="31"/>
          <w:szCs w:val="31"/>
        </w:rPr>
        <w:t>тысячи рублей</w:t>
      </w:r>
      <w:r>
        <w:rPr>
          <w:rStyle w:val="11"/>
          <w:sz w:val="31"/>
          <w:szCs w:val="31"/>
        </w:rPr>
        <w:t>;</w:t>
      </w:r>
    </w:p>
    <w:p w:rsidR="00B21C30" w:rsidRPr="00DD1547" w:rsidRDefault="00B21C30" w:rsidP="00B21C30">
      <w:pPr>
        <w:pStyle w:val="7"/>
        <w:shd w:val="clear" w:color="auto" w:fill="auto"/>
        <w:spacing w:before="0" w:after="0" w:line="240" w:lineRule="auto"/>
        <w:ind w:firstLine="709"/>
        <w:rPr>
          <w:rStyle w:val="11"/>
          <w:sz w:val="31"/>
          <w:szCs w:val="31"/>
        </w:rPr>
      </w:pPr>
      <w:r>
        <w:rPr>
          <w:rStyle w:val="11"/>
          <w:sz w:val="31"/>
          <w:szCs w:val="31"/>
        </w:rPr>
        <w:t>д</w:t>
      </w:r>
      <w:r w:rsidRPr="00B21C30">
        <w:rPr>
          <w:rStyle w:val="11"/>
          <w:sz w:val="31"/>
          <w:szCs w:val="31"/>
        </w:rPr>
        <w:t>оходы от сдачи в аренду земельных участков</w:t>
      </w:r>
      <w:r>
        <w:rPr>
          <w:rStyle w:val="11"/>
          <w:sz w:val="31"/>
          <w:szCs w:val="31"/>
        </w:rPr>
        <w:t xml:space="preserve"> </w:t>
      </w:r>
      <w:r w:rsidR="00BE5071">
        <w:rPr>
          <w:rStyle w:val="11"/>
          <w:sz w:val="31"/>
          <w:szCs w:val="31"/>
        </w:rPr>
        <w:t>–</w:t>
      </w:r>
      <w:r>
        <w:rPr>
          <w:rStyle w:val="11"/>
          <w:sz w:val="31"/>
          <w:szCs w:val="31"/>
        </w:rPr>
        <w:t xml:space="preserve"> </w:t>
      </w:r>
      <w:r w:rsidR="00BE5071">
        <w:rPr>
          <w:rStyle w:val="11"/>
          <w:sz w:val="31"/>
          <w:szCs w:val="31"/>
        </w:rPr>
        <w:t xml:space="preserve">527,3 </w:t>
      </w:r>
      <w:r w:rsidR="00BE5071" w:rsidRPr="00B21C30">
        <w:rPr>
          <w:sz w:val="31"/>
          <w:szCs w:val="31"/>
        </w:rPr>
        <w:t>тысячи рублей</w:t>
      </w:r>
      <w:r>
        <w:rPr>
          <w:rStyle w:val="11"/>
          <w:sz w:val="31"/>
          <w:szCs w:val="31"/>
        </w:rPr>
        <w:t>;</w:t>
      </w:r>
    </w:p>
    <w:p w:rsidR="00E91D98" w:rsidRPr="00B21C30" w:rsidRDefault="00E91D98" w:rsidP="00B21C30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355C86">
        <w:rPr>
          <w:sz w:val="31"/>
          <w:szCs w:val="31"/>
        </w:rPr>
        <w:t xml:space="preserve">доходы от осуществления приносящей доходы деятельности и </w:t>
      </w:r>
      <w:r w:rsidRPr="00B21C30">
        <w:rPr>
          <w:sz w:val="31"/>
          <w:szCs w:val="31"/>
        </w:rPr>
        <w:t>компенсации расходов – 4 2</w:t>
      </w:r>
      <w:r w:rsidR="00611CFB">
        <w:rPr>
          <w:sz w:val="31"/>
          <w:szCs w:val="31"/>
        </w:rPr>
        <w:t>14</w:t>
      </w:r>
      <w:r w:rsidRPr="00B21C30">
        <w:rPr>
          <w:sz w:val="31"/>
          <w:szCs w:val="31"/>
        </w:rPr>
        <w:t>,</w:t>
      </w:r>
      <w:r w:rsidR="00611CFB">
        <w:rPr>
          <w:sz w:val="31"/>
          <w:szCs w:val="31"/>
        </w:rPr>
        <w:t>1</w:t>
      </w:r>
      <w:r w:rsidRPr="00B21C30">
        <w:rPr>
          <w:sz w:val="31"/>
          <w:szCs w:val="31"/>
        </w:rPr>
        <w:t xml:space="preserve"> тысячи рублей;</w:t>
      </w:r>
    </w:p>
    <w:p w:rsidR="00B21C30" w:rsidRPr="00B21C30" w:rsidRDefault="00B21C30" w:rsidP="00B21C30">
      <w:pPr>
        <w:pStyle w:val="7"/>
        <w:spacing w:before="0" w:after="0" w:line="240" w:lineRule="auto"/>
        <w:ind w:firstLine="709"/>
        <w:rPr>
          <w:bCs/>
          <w:sz w:val="31"/>
          <w:szCs w:val="31"/>
        </w:rPr>
      </w:pPr>
      <w:r w:rsidRPr="00355C86">
        <w:rPr>
          <w:sz w:val="31"/>
          <w:szCs w:val="31"/>
        </w:rPr>
        <w:t xml:space="preserve">доходы от сдачи в аренду имущества, находящегося в государственной собственности – </w:t>
      </w:r>
      <w:r w:rsidR="00F9491C">
        <w:rPr>
          <w:sz w:val="31"/>
          <w:szCs w:val="31"/>
        </w:rPr>
        <w:t>100,0</w:t>
      </w:r>
      <w:r w:rsidRPr="00355C86">
        <w:rPr>
          <w:sz w:val="31"/>
          <w:szCs w:val="31"/>
        </w:rPr>
        <w:t xml:space="preserve"> тысячи рублей</w:t>
      </w:r>
      <w:r>
        <w:rPr>
          <w:bCs/>
          <w:sz w:val="31"/>
          <w:szCs w:val="31"/>
        </w:rPr>
        <w:t>;</w:t>
      </w:r>
    </w:p>
    <w:p w:rsidR="00E91D98" w:rsidRPr="00355C86" w:rsidRDefault="00E91D98" w:rsidP="00B21C30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21C30">
        <w:rPr>
          <w:sz w:val="31"/>
          <w:szCs w:val="31"/>
        </w:rPr>
        <w:t>доходы от реализации государственного имущества, кроме средств от реализации принадлежащего государству</w:t>
      </w:r>
      <w:r w:rsidRPr="00355C86">
        <w:rPr>
          <w:sz w:val="31"/>
          <w:szCs w:val="31"/>
        </w:rPr>
        <w:t xml:space="preserve"> имущества в соответствии с законодательством о приватизации – </w:t>
      </w:r>
      <w:r w:rsidR="00F9491C">
        <w:rPr>
          <w:sz w:val="31"/>
          <w:szCs w:val="31"/>
        </w:rPr>
        <w:t>751,1</w:t>
      </w:r>
      <w:r w:rsidRPr="00355C86">
        <w:rPr>
          <w:sz w:val="31"/>
          <w:szCs w:val="31"/>
        </w:rPr>
        <w:t xml:space="preserve"> тысячи рублей;</w:t>
      </w:r>
    </w:p>
    <w:p w:rsidR="00B21C30" w:rsidRDefault="00B21C30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>
        <w:rPr>
          <w:sz w:val="31"/>
          <w:szCs w:val="31"/>
        </w:rPr>
        <w:t>ш</w:t>
      </w:r>
      <w:r w:rsidRPr="00B21C30">
        <w:rPr>
          <w:sz w:val="31"/>
          <w:szCs w:val="31"/>
        </w:rPr>
        <w:t>трафы, удержания</w:t>
      </w:r>
      <w:r>
        <w:rPr>
          <w:sz w:val="31"/>
          <w:szCs w:val="31"/>
        </w:rPr>
        <w:t xml:space="preserve"> </w:t>
      </w:r>
      <w:r w:rsidR="00F9491C">
        <w:rPr>
          <w:sz w:val="31"/>
          <w:szCs w:val="31"/>
        </w:rPr>
        <w:t>–</w:t>
      </w:r>
      <w:r>
        <w:rPr>
          <w:sz w:val="31"/>
          <w:szCs w:val="31"/>
        </w:rPr>
        <w:t xml:space="preserve"> </w:t>
      </w:r>
      <w:r w:rsidR="00F9491C">
        <w:rPr>
          <w:sz w:val="31"/>
          <w:szCs w:val="31"/>
        </w:rPr>
        <w:t>445,0</w:t>
      </w:r>
      <w:r w:rsidR="00546C78" w:rsidRPr="00546C78">
        <w:rPr>
          <w:sz w:val="31"/>
          <w:szCs w:val="31"/>
        </w:rPr>
        <w:t xml:space="preserve"> </w:t>
      </w:r>
      <w:r w:rsidR="00546C78">
        <w:rPr>
          <w:sz w:val="31"/>
          <w:szCs w:val="31"/>
        </w:rPr>
        <w:t>тысячи рублей</w:t>
      </w:r>
      <w:r>
        <w:rPr>
          <w:sz w:val="31"/>
          <w:szCs w:val="31"/>
        </w:rPr>
        <w:t>;</w:t>
      </w:r>
    </w:p>
    <w:p w:rsidR="00E91D98" w:rsidRPr="00B84E3D" w:rsidRDefault="00B21C30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>
        <w:rPr>
          <w:sz w:val="31"/>
          <w:szCs w:val="31"/>
        </w:rPr>
        <w:t>п</w:t>
      </w:r>
      <w:r w:rsidRPr="00B21C30">
        <w:rPr>
          <w:sz w:val="31"/>
          <w:szCs w:val="31"/>
        </w:rPr>
        <w:t>рочие неналоговые доходы</w:t>
      </w:r>
      <w:r>
        <w:rPr>
          <w:sz w:val="31"/>
          <w:szCs w:val="31"/>
        </w:rPr>
        <w:t xml:space="preserve"> </w:t>
      </w:r>
      <w:r w:rsidR="00F9491C">
        <w:rPr>
          <w:sz w:val="31"/>
          <w:szCs w:val="31"/>
        </w:rPr>
        <w:t>–</w:t>
      </w:r>
      <w:r>
        <w:rPr>
          <w:sz w:val="31"/>
          <w:szCs w:val="31"/>
        </w:rPr>
        <w:t xml:space="preserve"> </w:t>
      </w:r>
      <w:r w:rsidR="00F9491C">
        <w:rPr>
          <w:sz w:val="31"/>
          <w:szCs w:val="31"/>
        </w:rPr>
        <w:t>154,0</w:t>
      </w:r>
      <w:r w:rsidR="00546C78">
        <w:rPr>
          <w:sz w:val="31"/>
          <w:szCs w:val="31"/>
        </w:rPr>
        <w:t xml:space="preserve"> тысячи рублей</w:t>
      </w:r>
      <w:r w:rsidR="00E91D98" w:rsidRPr="00355C86">
        <w:rPr>
          <w:sz w:val="31"/>
          <w:szCs w:val="31"/>
        </w:rPr>
        <w:t>.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sz w:val="31"/>
          <w:szCs w:val="31"/>
        </w:rPr>
        <w:t xml:space="preserve">В 2024 году предусматривается получить </w:t>
      </w:r>
      <w:r w:rsidRPr="00B84E3D">
        <w:rPr>
          <w:rStyle w:val="11"/>
          <w:sz w:val="31"/>
          <w:szCs w:val="31"/>
        </w:rPr>
        <w:t xml:space="preserve">безвозмездные поступления </w:t>
      </w:r>
      <w:r w:rsidRPr="00B84E3D">
        <w:rPr>
          <w:sz w:val="31"/>
          <w:szCs w:val="31"/>
        </w:rPr>
        <w:t xml:space="preserve">из областного бюджета в общей сумме 73 046,1 тысячи </w:t>
      </w:r>
      <w:r w:rsidRPr="00B84E3D">
        <w:rPr>
          <w:sz w:val="31"/>
          <w:szCs w:val="31"/>
        </w:rPr>
        <w:lastRenderedPageBreak/>
        <w:t>рублей, из них:</w:t>
      </w:r>
    </w:p>
    <w:p w:rsidR="00E91D98" w:rsidRPr="00B84E3D" w:rsidRDefault="00E91D98" w:rsidP="00E91D98">
      <w:pPr>
        <w:pStyle w:val="7"/>
        <w:shd w:val="clear" w:color="auto" w:fill="auto"/>
        <w:spacing w:before="0" w:after="0" w:line="240" w:lineRule="auto"/>
        <w:ind w:firstLine="709"/>
        <w:rPr>
          <w:sz w:val="31"/>
          <w:szCs w:val="31"/>
        </w:rPr>
      </w:pPr>
      <w:r w:rsidRPr="00B84E3D">
        <w:rPr>
          <w:sz w:val="31"/>
          <w:szCs w:val="31"/>
        </w:rPr>
        <w:t xml:space="preserve">дотации </w:t>
      </w:r>
      <w:r w:rsidR="00E066BD" w:rsidRPr="00B84E3D">
        <w:rPr>
          <w:sz w:val="31"/>
          <w:szCs w:val="31"/>
        </w:rPr>
        <w:t>–</w:t>
      </w:r>
      <w:r w:rsidRPr="00B84E3D">
        <w:rPr>
          <w:sz w:val="31"/>
          <w:szCs w:val="31"/>
        </w:rPr>
        <w:t xml:space="preserve"> 72</w:t>
      </w:r>
      <w:r w:rsidR="00E066BD" w:rsidRPr="00B84E3D">
        <w:rPr>
          <w:sz w:val="31"/>
          <w:szCs w:val="31"/>
        </w:rPr>
        <w:t> </w:t>
      </w:r>
      <w:r w:rsidRPr="00B84E3D">
        <w:rPr>
          <w:sz w:val="31"/>
          <w:szCs w:val="31"/>
        </w:rPr>
        <w:t>375</w:t>
      </w:r>
      <w:r w:rsidR="00E066BD" w:rsidRPr="00B84E3D">
        <w:rPr>
          <w:sz w:val="31"/>
          <w:szCs w:val="31"/>
        </w:rPr>
        <w:t>,</w:t>
      </w:r>
      <w:r w:rsidRPr="00B84E3D">
        <w:rPr>
          <w:sz w:val="31"/>
          <w:szCs w:val="31"/>
        </w:rPr>
        <w:t>2 тысячи рублей (99,1 процента в общей сумме безвозмездных поступлений);</w:t>
      </w:r>
    </w:p>
    <w:p w:rsidR="00E91D98" w:rsidRDefault="00E91D98" w:rsidP="00E91D98">
      <w:pPr>
        <w:jc w:val="both"/>
        <w:rPr>
          <w:rFonts w:ascii="Times New Roman" w:hAnsi="Times New Roman" w:cs="Times New Roman"/>
          <w:color w:val="auto"/>
          <w:sz w:val="31"/>
          <w:szCs w:val="31"/>
        </w:rPr>
      </w:pPr>
      <w:r w:rsidRPr="00B84E3D">
        <w:rPr>
          <w:rFonts w:ascii="Times New Roman" w:hAnsi="Times New Roman" w:cs="Times New Roman"/>
          <w:color w:val="auto"/>
          <w:sz w:val="31"/>
          <w:szCs w:val="31"/>
        </w:rPr>
        <w:t>субвенции на финансирование расходов по развитию сельского хозяйства и рыбохозяйственной деятельности - 670,8 тысячи рублей (0,9 процента).</w:t>
      </w:r>
    </w:p>
    <w:p w:rsidR="00B84E3D" w:rsidRPr="00982C2A" w:rsidRDefault="00B84E3D" w:rsidP="00B84E3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982C2A">
        <w:rPr>
          <w:rFonts w:ascii="Times New Roman" w:hAnsi="Times New Roman" w:cs="Times New Roman"/>
          <w:b/>
          <w:color w:val="009900"/>
          <w:sz w:val="32"/>
          <w:szCs w:val="32"/>
        </w:rPr>
        <w:t>СТРУКТУРА ДОХОДОВ БЮДЖЕТА</w:t>
      </w:r>
    </w:p>
    <w:p w:rsidR="00F16ADD" w:rsidRDefault="009D0463" w:rsidP="00E91D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80480" cy="4275221"/>
            <wp:effectExtent l="0" t="0" r="3937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66E7" w:rsidRDefault="003266E7" w:rsidP="00E91D9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5013"/>
      </w:tblGrid>
      <w:tr w:rsidR="009A42FA" w:rsidTr="00546C78">
        <w:trPr>
          <w:trHeight w:val="2485"/>
        </w:trPr>
        <w:tc>
          <w:tcPr>
            <w:tcW w:w="4582" w:type="dxa"/>
          </w:tcPr>
          <w:p w:rsidR="009A42FA" w:rsidRDefault="009A42FA" w:rsidP="00982C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6A7AB623" wp14:editId="00AA4C70">
                  <wp:extent cx="2810741" cy="2673928"/>
                  <wp:effectExtent l="0" t="0" r="8890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9A42FA" w:rsidRDefault="009A42FA" w:rsidP="00982C2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1601D6D" wp14:editId="6F55CB64">
                  <wp:extent cx="3064043" cy="2975810"/>
                  <wp:effectExtent l="0" t="0" r="3175" b="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1F0258" w:rsidRPr="004B3085" w:rsidRDefault="004B3085" w:rsidP="004B3085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4B3085">
        <w:rPr>
          <w:rFonts w:ascii="Times New Roman" w:hAnsi="Times New Roman" w:cs="Times New Roman"/>
          <w:b/>
          <w:color w:val="009900"/>
          <w:sz w:val="32"/>
          <w:szCs w:val="32"/>
        </w:rPr>
        <w:t>СТРУКТУРА НАЛОГОВЫХ ДОХОДОВ</w:t>
      </w:r>
    </w:p>
    <w:p w:rsidR="004B3085" w:rsidRPr="004B3085" w:rsidRDefault="004B3085" w:rsidP="004B3085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4B3085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КОНСОЛИДИРОВАННОГО БЮДЖЕТА</w:t>
      </w:r>
    </w:p>
    <w:p w:rsidR="00982C2A" w:rsidRDefault="001F0258" w:rsidP="00982C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27265" cy="3777740"/>
            <wp:effectExtent l="0" t="0" r="254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3085" w:rsidRDefault="004B3085" w:rsidP="00982C2A">
      <w:pPr>
        <w:rPr>
          <w:rFonts w:ascii="Times New Roman" w:hAnsi="Times New Roman" w:cs="Times New Roman"/>
          <w:sz w:val="32"/>
          <w:szCs w:val="32"/>
        </w:rPr>
      </w:pPr>
    </w:p>
    <w:p w:rsidR="004B3085" w:rsidRDefault="004B3085" w:rsidP="00982C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07125" cy="4849090"/>
            <wp:effectExtent l="0" t="0" r="3175" b="889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5D77" w:rsidRDefault="00EE5D77" w:rsidP="001675A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</w:p>
    <w:p w:rsidR="00F13441" w:rsidRDefault="001675AD" w:rsidP="001675A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1675AD">
        <w:rPr>
          <w:rFonts w:ascii="Times New Roman" w:hAnsi="Times New Roman" w:cs="Times New Roman"/>
          <w:b/>
          <w:color w:val="009900"/>
          <w:sz w:val="32"/>
          <w:szCs w:val="32"/>
        </w:rPr>
        <w:lastRenderedPageBreak/>
        <w:t>РАСХОДЫ БЮДЖЕТА</w:t>
      </w:r>
    </w:p>
    <w:p w:rsidR="001675AD" w:rsidRDefault="001675AD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675AD" w:rsidRDefault="001675AD" w:rsidP="001675AD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В 2024 году, как и предыдущие годы, сохранена социальная направленность бюджета. Социально-значимые расходы составят </w:t>
      </w:r>
      <w:r>
        <w:rPr>
          <w:rStyle w:val="11"/>
        </w:rPr>
        <w:t xml:space="preserve">86,1 процентов </w:t>
      </w:r>
      <w:r>
        <w:t>в общем объеме расходов консолидированного бюджета района (145 031,5 тысячи рублей).</w:t>
      </w:r>
    </w:p>
    <w:p w:rsidR="001675AD" w:rsidRDefault="001675AD" w:rsidP="001675AD">
      <w:pPr>
        <w:pStyle w:val="7"/>
        <w:shd w:val="clear" w:color="auto" w:fill="auto"/>
        <w:spacing w:before="0" w:after="0" w:line="240" w:lineRule="auto"/>
        <w:ind w:firstLine="709"/>
      </w:pPr>
      <w:r>
        <w:t>Это расходы на выплату заработной платы и взносов (отчислений) на социальное страхование (65,9 процента), оплату лекарственных средств и изделий медицинского назначения, продуктов питания и коммунальных услуг (14,6 процента), субсидирование жилищно-коммунальных и транспортных услуг, оказываемых населению, а также субсидии организациям, реализующим твердое топливо, топливные брикеты, дрова для населения по фиксированным розничным ценам (15,5 процента), выплату трансфертов населению (3,7 процента).</w:t>
      </w:r>
    </w:p>
    <w:p w:rsidR="001675AD" w:rsidRDefault="001675AD" w:rsidP="001675AD">
      <w:pPr>
        <w:pStyle w:val="7"/>
        <w:shd w:val="clear" w:color="auto" w:fill="auto"/>
        <w:spacing w:before="0" w:after="0" w:line="240" w:lineRule="auto"/>
        <w:ind w:firstLine="709"/>
      </w:pPr>
      <w:r>
        <w:t>По функциональной структуре в составе расходов бюджета 70,0 процента приходится на финансирование расходов организаций и учреждений социальной сферы (117 884,8 тысячи рублей).</w:t>
      </w:r>
    </w:p>
    <w:p w:rsidR="001675AD" w:rsidRDefault="001675AD" w:rsidP="001675AD">
      <w:pPr>
        <w:pStyle w:val="7"/>
        <w:shd w:val="clear" w:color="auto" w:fill="auto"/>
        <w:spacing w:before="0" w:after="0" w:line="240" w:lineRule="auto"/>
        <w:ind w:firstLine="709"/>
      </w:pPr>
      <w:r>
        <w:t>На финансирование жилищно-коммунального хозяйства планируется направить 18,8 процента расходов бюджета района (31 657,4 тысячи рублей).</w:t>
      </w:r>
    </w:p>
    <w:p w:rsidR="001675AD" w:rsidRDefault="001675AD" w:rsidP="001675AD">
      <w:pPr>
        <w:pStyle w:val="7"/>
        <w:shd w:val="clear" w:color="auto" w:fill="auto"/>
        <w:spacing w:before="0" w:after="0" w:line="240" w:lineRule="auto"/>
        <w:ind w:firstLine="709"/>
      </w:pPr>
      <w:r>
        <w:t>В 2024 году в составе резервных фондов сформирован дополнительный резервный фонд местных исполнительных и распорядительных органов сверх размера, определяемого местными Советами депутатов в соответствии с пунктом 4 статьи 42 Бюджетного кодекса Республики Беларусь в сумме 1 006,4 тысячи рублей, которые при достижении прогнозных показателей развития экономики будут использоваться в первую очередь на повышение уровня оплаты труда работников бюджетной сферы.</w:t>
      </w:r>
    </w:p>
    <w:p w:rsidR="001675AD" w:rsidRDefault="001675AD" w:rsidP="001675AD">
      <w:pPr>
        <w:jc w:val="center"/>
        <w:rPr>
          <w:rFonts w:ascii="Times New Roman" w:hAnsi="Times New Roman" w:cs="Times New Roman"/>
          <w:sz w:val="32"/>
          <w:szCs w:val="32"/>
        </w:rPr>
      </w:pPr>
      <w:r w:rsidRPr="001675AD">
        <w:rPr>
          <w:rFonts w:ascii="Times New Roman" w:hAnsi="Times New Roman" w:cs="Times New Roman"/>
          <w:sz w:val="32"/>
          <w:szCs w:val="32"/>
        </w:rPr>
        <w:t>Бюджет района на 2024 год спланирован бездефицитным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391F20" w:rsidRDefault="00391F20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Default="005725AB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5725AB" w:rsidRPr="00C930E5" w:rsidRDefault="00C930E5" w:rsidP="001675A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C930E5">
        <w:rPr>
          <w:rFonts w:ascii="Times New Roman" w:hAnsi="Times New Roman" w:cs="Times New Roman"/>
          <w:b/>
          <w:color w:val="009900"/>
          <w:sz w:val="32"/>
          <w:szCs w:val="32"/>
        </w:rPr>
        <w:t>СТРУКТУРА РАСХОДОВ</w:t>
      </w:r>
      <w:r w:rsidR="007E679B">
        <w:rPr>
          <w:rFonts w:ascii="Times New Roman" w:hAnsi="Times New Roman" w:cs="Times New Roman"/>
          <w:b/>
          <w:color w:val="009900"/>
          <w:sz w:val="32"/>
          <w:szCs w:val="32"/>
        </w:rPr>
        <w:t xml:space="preserve"> </w:t>
      </w:r>
      <w:r w:rsidRPr="00C930E5">
        <w:rPr>
          <w:rFonts w:ascii="Times New Roman" w:hAnsi="Times New Roman" w:cs="Times New Roman"/>
          <w:b/>
          <w:color w:val="009900"/>
          <w:sz w:val="32"/>
          <w:szCs w:val="32"/>
        </w:rPr>
        <w:t>БЮДЖЕТА</w:t>
      </w:r>
    </w:p>
    <w:p w:rsidR="00C930E5" w:rsidRPr="00C930E5" w:rsidRDefault="00C930E5" w:rsidP="001675A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C930E5">
        <w:rPr>
          <w:rFonts w:ascii="Times New Roman" w:hAnsi="Times New Roman" w:cs="Times New Roman"/>
          <w:b/>
          <w:color w:val="009900"/>
          <w:sz w:val="32"/>
          <w:szCs w:val="32"/>
        </w:rPr>
        <w:t>СЛОНИМСКОГО РАЙОНА</w:t>
      </w:r>
    </w:p>
    <w:p w:rsidR="00C930E5" w:rsidRDefault="00C930E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auto"/>
          <w:sz w:val="32"/>
          <w:szCs w:val="32"/>
        </w:rPr>
        <w:drawing>
          <wp:inline distT="0" distB="0" distL="0" distR="0">
            <wp:extent cx="6226764" cy="7809109"/>
            <wp:effectExtent l="38100" t="0" r="41275" b="190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F2465" w:rsidRDefault="00BF246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2465" w:rsidRDefault="00BF246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2465" w:rsidRDefault="00BF246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2465" w:rsidRDefault="00BF246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F2465" w:rsidRPr="00621C55" w:rsidRDefault="009F7078" w:rsidP="001675A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621C55">
        <w:rPr>
          <w:rFonts w:ascii="Times New Roman" w:hAnsi="Times New Roman" w:cs="Times New Roman"/>
          <w:b/>
          <w:color w:val="009900"/>
          <w:sz w:val="32"/>
          <w:szCs w:val="32"/>
        </w:rPr>
        <w:t>СТРУКТУРА РАСХОДОВ</w:t>
      </w:r>
    </w:p>
    <w:p w:rsidR="009F7078" w:rsidRPr="00621C55" w:rsidRDefault="009F7078" w:rsidP="001675AD">
      <w:pPr>
        <w:jc w:val="center"/>
        <w:rPr>
          <w:rFonts w:ascii="Times New Roman" w:hAnsi="Times New Roman" w:cs="Times New Roman"/>
          <w:b/>
          <w:color w:val="009900"/>
          <w:sz w:val="32"/>
          <w:szCs w:val="32"/>
        </w:rPr>
      </w:pPr>
      <w:r w:rsidRPr="00621C55">
        <w:rPr>
          <w:rFonts w:ascii="Times New Roman" w:hAnsi="Times New Roman" w:cs="Times New Roman"/>
          <w:b/>
          <w:color w:val="009900"/>
          <w:sz w:val="32"/>
          <w:szCs w:val="32"/>
        </w:rPr>
        <w:t>КОНСОЛИДИРОВАННОГО БЮДЖЕТА ПО СТАТЬЯМ</w:t>
      </w:r>
    </w:p>
    <w:p w:rsidR="009F7078" w:rsidRDefault="009F707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21C55">
        <w:rPr>
          <w:rFonts w:ascii="Times New Roman" w:hAnsi="Times New Roman" w:cs="Times New Roman"/>
          <w:b/>
          <w:color w:val="009900"/>
          <w:sz w:val="32"/>
          <w:szCs w:val="32"/>
        </w:rPr>
        <w:t>РАСХОДОВ</w:t>
      </w:r>
    </w:p>
    <w:p w:rsidR="009F7078" w:rsidRDefault="009F707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07F7B"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6400800" cy="7280564"/>
            <wp:effectExtent l="0" t="0" r="0" b="1587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C13AC" w:rsidRDefault="001C13A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C13AC" w:rsidRDefault="001C13A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C13AC" w:rsidRDefault="001C13A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C13AC" w:rsidRDefault="001C13A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C13AC" w:rsidRDefault="001C13A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C13AC" w:rsidRPr="00184705" w:rsidRDefault="000650A8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4705">
        <w:rPr>
          <w:rFonts w:ascii="Times New Roman" w:hAnsi="Times New Roman" w:cs="Times New Roman"/>
          <w:b/>
          <w:color w:val="00B050"/>
          <w:sz w:val="32"/>
          <w:szCs w:val="32"/>
        </w:rPr>
        <w:t>РАЙОННЫЙ БЮДЖЕТ НА 2024 ГОД</w:t>
      </w:r>
    </w:p>
    <w:p w:rsidR="00184705" w:rsidRPr="00184705" w:rsidRDefault="00184705" w:rsidP="0018470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650A8" w:rsidRPr="00184705" w:rsidRDefault="00184705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4705">
        <w:rPr>
          <w:rFonts w:ascii="Times New Roman" w:hAnsi="Times New Roman" w:cs="Times New Roman"/>
          <w:b/>
          <w:color w:val="00B050"/>
          <w:sz w:val="32"/>
          <w:szCs w:val="32"/>
        </w:rPr>
        <w:t>ДОХОДЫ</w:t>
      </w:r>
    </w:p>
    <w:p w:rsidR="00184705" w:rsidRDefault="0018470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84705" w:rsidRDefault="00184705" w:rsidP="00184705">
      <w:pPr>
        <w:pStyle w:val="7"/>
        <w:shd w:val="clear" w:color="auto" w:fill="auto"/>
        <w:spacing w:before="0" w:after="0" w:line="240" w:lineRule="auto"/>
        <w:ind w:firstLine="709"/>
      </w:pPr>
      <w:r>
        <w:t>Районный бюджет составляет 99,0 процента объема бюджета района. Объем районного бюджета определен по доходам в сумме 166 801,1 тысячи рублей и расходам в сумме 166 801,1 тысячи рублей.</w:t>
      </w:r>
    </w:p>
    <w:p w:rsidR="00184705" w:rsidRDefault="00184705" w:rsidP="00184705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Доходы районного бюджета сформированы с учетом распределения поступлений доходных источников в районный бюджет и бюджеты </w:t>
      </w:r>
      <w:proofErr w:type="spellStart"/>
      <w:r>
        <w:t>сельисполкомов</w:t>
      </w:r>
      <w:proofErr w:type="spellEnd"/>
      <w:r>
        <w:t xml:space="preserve">. В части, оставшейся после передачи в бюджеты </w:t>
      </w:r>
      <w:proofErr w:type="spellStart"/>
      <w:r>
        <w:t>сельисполкомов</w:t>
      </w:r>
      <w:proofErr w:type="spellEnd"/>
      <w:r>
        <w:t>, в районном бюджете остаются 97,0 процента от подоходного налога с граждан. Этот доходный источник составляет 54,8 процента от объема собственных доходов районного бюджета. В недостающей части расходы районного бюджета будут обеспечены закрепленными доходами и поступлениями из областного бюджета.</w:t>
      </w:r>
    </w:p>
    <w:p w:rsidR="00184705" w:rsidRDefault="0018470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84705" w:rsidRPr="00184705" w:rsidRDefault="00184705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4705">
        <w:rPr>
          <w:rFonts w:ascii="Times New Roman" w:hAnsi="Times New Roman" w:cs="Times New Roman"/>
          <w:b/>
          <w:color w:val="00B050"/>
          <w:sz w:val="32"/>
          <w:szCs w:val="32"/>
        </w:rPr>
        <w:t>РАСХОДЫ</w:t>
      </w:r>
    </w:p>
    <w:p w:rsidR="00184705" w:rsidRDefault="0018470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84705" w:rsidRDefault="00184705" w:rsidP="00184705">
      <w:pPr>
        <w:pStyle w:val="7"/>
        <w:shd w:val="clear" w:color="auto" w:fill="auto"/>
        <w:spacing w:before="0" w:after="0" w:line="240" w:lineRule="auto"/>
        <w:ind w:firstLine="709"/>
      </w:pPr>
      <w:r>
        <w:t>Расходы районного бюджета исходя из ресурсных возможностей определены в сумме 166 801,1 тысячи рублей.</w:t>
      </w:r>
    </w:p>
    <w:p w:rsidR="00184705" w:rsidRDefault="00184705" w:rsidP="00184705">
      <w:pPr>
        <w:pStyle w:val="7"/>
        <w:shd w:val="clear" w:color="auto" w:fill="auto"/>
        <w:spacing w:before="0" w:after="0" w:line="240" w:lineRule="auto"/>
        <w:ind w:firstLine="709"/>
      </w:pPr>
      <w:r>
        <w:t>По функциональной структуре расходы районного бюджета включают в себя расходы на: общегосударственную деятельность, национальную оборону, национальную экономику, охрану окружающей среды, жилищно-коммунальные услуги и жилищное строительство, здравоохранение, физическую культуру, спорт, культуру и средства массовой информации, образование и социальную политику.</w:t>
      </w:r>
    </w:p>
    <w:p w:rsidR="00184705" w:rsidRDefault="00184705" w:rsidP="00184705">
      <w:pPr>
        <w:pStyle w:val="7"/>
        <w:shd w:val="clear" w:color="auto" w:fill="auto"/>
        <w:spacing w:before="0" w:after="0" w:line="240" w:lineRule="auto"/>
        <w:ind w:firstLine="709"/>
      </w:pPr>
      <w:r>
        <w:t>Структура расходов районного бюджета характеризуется следующими параметрами:</w:t>
      </w:r>
    </w:p>
    <w:p w:rsidR="00184705" w:rsidRDefault="00184705" w:rsidP="00184705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</w:t>
      </w:r>
      <w:r>
        <w:rPr>
          <w:rStyle w:val="11"/>
        </w:rPr>
        <w:t xml:space="preserve">общегосударственную деятельность </w:t>
      </w:r>
      <w:r>
        <w:t>предусмотрено 12 114,4 тысячи рублей, из них на:</w:t>
      </w:r>
    </w:p>
    <w:p w:rsidR="00B526D5" w:rsidRPr="00B526D5" w:rsidRDefault="00B526D5" w:rsidP="00184705">
      <w:pPr>
        <w:pStyle w:val="7"/>
        <w:shd w:val="clear" w:color="auto" w:fill="auto"/>
        <w:spacing w:before="0" w:after="0" w:line="240" w:lineRule="auto"/>
        <w:ind w:firstLine="709"/>
      </w:pPr>
      <w:r>
        <w:t>содержание</w:t>
      </w:r>
      <w:r w:rsidR="00F91219">
        <w:rPr>
          <w:lang w:val="en-US"/>
        </w:rPr>
        <w:t> </w:t>
      </w:r>
      <w:r w:rsidR="00184705">
        <w:t>органов</w:t>
      </w:r>
      <w:r w:rsidR="00F91219">
        <w:rPr>
          <w:lang w:val="en-US"/>
        </w:rPr>
        <w:t> </w:t>
      </w:r>
      <w:r w:rsidR="00184705">
        <w:t>местного</w:t>
      </w:r>
      <w:r>
        <w:t xml:space="preserve"> </w:t>
      </w:r>
      <w:r w:rsidR="00184705">
        <w:t>управления и самоуправления</w:t>
      </w:r>
      <w:r w:rsidR="00F91219" w:rsidRPr="00F91219">
        <w:t xml:space="preserve"> </w:t>
      </w:r>
      <w:r w:rsidR="00F91219" w:rsidRPr="00B526D5">
        <w:t>–</w:t>
      </w:r>
      <w:r w:rsidRPr="00B526D5">
        <w:t xml:space="preserve"> </w:t>
      </w:r>
    </w:p>
    <w:p w:rsidR="00184705" w:rsidRPr="00B526D5" w:rsidRDefault="00184705" w:rsidP="00B526D5">
      <w:pPr>
        <w:pStyle w:val="7"/>
        <w:shd w:val="clear" w:color="auto" w:fill="auto"/>
        <w:spacing w:before="0" w:after="0" w:line="240" w:lineRule="auto"/>
      </w:pPr>
      <w:r w:rsidRPr="00B526D5">
        <w:t>6 414,6 тысячи рублей</w:t>
      </w:r>
      <w:r w:rsidR="009F0454">
        <w:t>;</w:t>
      </w:r>
    </w:p>
    <w:p w:rsidR="00B526D5" w:rsidRPr="00B526D5" w:rsidRDefault="00184705" w:rsidP="00F91219">
      <w:pPr>
        <w:pStyle w:val="7"/>
        <w:shd w:val="clear" w:color="auto" w:fill="auto"/>
        <w:spacing w:before="0" w:after="0" w:line="240" w:lineRule="auto"/>
        <w:ind w:firstLine="709"/>
      </w:pPr>
      <w:r w:rsidRPr="00B526D5">
        <w:t>содержание центров по обслуживанию бюджетных организаций и государственных органов</w:t>
      </w:r>
      <w:r w:rsidR="00F91219" w:rsidRPr="00B526D5">
        <w:t xml:space="preserve"> –</w:t>
      </w:r>
      <w:r w:rsidRPr="00B526D5">
        <w:t xml:space="preserve"> 3 000,5 тысячи рублей</w:t>
      </w:r>
      <w:r w:rsidR="009F0454">
        <w:t>;</w:t>
      </w:r>
    </w:p>
    <w:p w:rsidR="00B526D5" w:rsidRPr="00B526D5" w:rsidRDefault="00B526D5" w:rsidP="00F91219">
      <w:pPr>
        <w:pStyle w:val="7"/>
        <w:shd w:val="clear" w:color="auto" w:fill="auto"/>
        <w:spacing w:before="0" w:after="0" w:line="240" w:lineRule="auto"/>
        <w:ind w:firstLine="709"/>
      </w:pPr>
      <w:r w:rsidRPr="00B526D5">
        <w:t xml:space="preserve">содержание </w:t>
      </w:r>
      <w:r w:rsidR="00184705" w:rsidRPr="00B526D5">
        <w:t xml:space="preserve">архивного учреждения </w:t>
      </w:r>
      <w:r w:rsidR="00F91219" w:rsidRPr="00B526D5">
        <w:t>–</w:t>
      </w:r>
      <w:r w:rsidR="00184705" w:rsidRPr="00B526D5">
        <w:t xml:space="preserve"> 33,6 тысячи рублей, обслуживание долга органов местного управления и самоуправления – </w:t>
      </w:r>
      <w:r w:rsidR="00184705" w:rsidRPr="00B526D5">
        <w:lastRenderedPageBreak/>
        <w:t>346,0 тысячи рублей</w:t>
      </w:r>
      <w:r w:rsidR="009F0454">
        <w:t>;</w:t>
      </w:r>
    </w:p>
    <w:p w:rsidR="00184705" w:rsidRDefault="00184705" w:rsidP="00F91219">
      <w:pPr>
        <w:pStyle w:val="7"/>
        <w:shd w:val="clear" w:color="auto" w:fill="auto"/>
        <w:spacing w:before="0" w:after="0" w:line="240" w:lineRule="auto"/>
        <w:ind w:firstLine="709"/>
      </w:pPr>
      <w:r w:rsidRPr="00B526D5">
        <w:t>резервные фонды – 1 741,7 тысячи рублей.</w:t>
      </w:r>
    </w:p>
    <w:p w:rsidR="00F91219" w:rsidRDefault="00184705" w:rsidP="009D65B4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В числе важнейших направлений социальных расходов </w:t>
      </w:r>
      <w:r w:rsidR="00F91219" w:rsidRPr="00F91219">
        <w:t>–</w:t>
      </w:r>
      <w:r>
        <w:t xml:space="preserve"> финансирование учреждений и мероприятий социальной сферы: образования, физической культуры и спорта, культуры, средств массовой информации и социальной политики. </w:t>
      </w:r>
    </w:p>
    <w:p w:rsidR="00184705" w:rsidRDefault="00184705" w:rsidP="009D65B4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В бюджете района на 2024 год расходы на </w:t>
      </w:r>
      <w:r>
        <w:rPr>
          <w:rStyle w:val="11"/>
        </w:rPr>
        <w:t xml:space="preserve">социальную сферу </w:t>
      </w:r>
      <w:r w:rsidRPr="00B526D5">
        <w:t>составляют 117 884,</w:t>
      </w:r>
      <w:r w:rsidR="00B526D5" w:rsidRPr="00B526D5">
        <w:t>9</w:t>
      </w:r>
      <w:r w:rsidRPr="00B526D5">
        <w:t xml:space="preserve"> тысячи</w:t>
      </w:r>
      <w:r>
        <w:t xml:space="preserve"> рублей или</w:t>
      </w:r>
      <w:r w:rsidR="009D65B4">
        <w:t xml:space="preserve"> </w:t>
      </w:r>
      <w:r>
        <w:t>70,0 процента общего объема расходов консолидированного бюджета района.</w:t>
      </w:r>
    </w:p>
    <w:p w:rsidR="00184705" w:rsidRDefault="0018470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84705" w:rsidRPr="00184705" w:rsidRDefault="00184705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84705">
        <w:rPr>
          <w:rFonts w:ascii="Times New Roman" w:hAnsi="Times New Roman" w:cs="Times New Roman"/>
          <w:b/>
          <w:color w:val="00B050"/>
          <w:sz w:val="32"/>
          <w:szCs w:val="32"/>
        </w:rPr>
        <w:t>СТРУКТУРА РАСХОДОВ СОЦИАЛЬНОЙ СФЕРЫ</w:t>
      </w:r>
    </w:p>
    <w:p w:rsidR="00184705" w:rsidRDefault="0018470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184705" w:rsidRDefault="0018470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auto"/>
          <w:sz w:val="32"/>
          <w:szCs w:val="32"/>
        </w:rPr>
        <mc:AlternateContent>
          <mc:Choice Requires="cx1">
            <w:drawing>
              <wp:inline distT="0" distB="0" distL="0" distR="0">
                <wp:extent cx="6406515" cy="5354781"/>
                <wp:effectExtent l="0" t="0" r="13335" b="17780"/>
                <wp:docPr id="1" name="Диаграмма 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20"/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6406515" cy="5354781"/>
                <wp:effectExtent l="0" t="0" r="13335" b="17780"/>
                <wp:docPr id="1" name="Диаграмма 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иаграмма 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6515" cy="535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Pr="00414A68" w:rsidRDefault="00414A68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14A68">
        <w:rPr>
          <w:rFonts w:ascii="Times New Roman" w:hAnsi="Times New Roman" w:cs="Times New Roman"/>
          <w:b/>
          <w:color w:val="00B050"/>
          <w:sz w:val="32"/>
          <w:szCs w:val="32"/>
        </w:rPr>
        <w:t>ЗДРАВООХРАНЕНИЕ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Расходы на </w:t>
      </w:r>
      <w:r>
        <w:rPr>
          <w:rStyle w:val="11"/>
        </w:rPr>
        <w:t xml:space="preserve">здравоохранение </w:t>
      </w:r>
      <w:r>
        <w:t>запланированы в сумме 42 931,3 тысячи рублей. Предусмотренные в бюджете средства будут направлены на оказание медицинской помощи населению.</w:t>
      </w: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>В районном бюджете на 2024 год запланированы расходы в сумме 5 950,6 тысячи рублей, направляемые на выплату надбавок работникам за работу в отрасли здравоохранения.</w:t>
      </w: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>В районе функционируют</w:t>
      </w:r>
      <w:r w:rsidRPr="003250C9">
        <w:t xml:space="preserve"> </w:t>
      </w:r>
      <w:r>
        <w:t>центральная районная больница, районная поликлиника, городская поликлиника, детская поликлиника, Жировичская участковая больница, 2 больницы сестринского ухода,</w:t>
      </w:r>
      <w:r w:rsidRPr="003250C9">
        <w:t xml:space="preserve"> </w:t>
      </w:r>
      <w:r>
        <w:t>7 амбулаторий врача общей практики.</w:t>
      </w:r>
    </w:p>
    <w:p w:rsidR="00414A68" w:rsidRPr="00964AE2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 w:rsidRPr="00964AE2">
        <w:t xml:space="preserve">Минимальный норматив обеспеченности расходов на </w:t>
      </w:r>
      <w:r w:rsidR="00BF63CF" w:rsidRPr="00964AE2">
        <w:t xml:space="preserve">здравоохранение в расчете на </w:t>
      </w:r>
      <w:r w:rsidRPr="00964AE2">
        <w:t>одного жителя состав</w:t>
      </w:r>
      <w:r w:rsidR="00BF63CF" w:rsidRPr="00964AE2">
        <w:t>ляет</w:t>
      </w:r>
      <w:r w:rsidRPr="00964AE2">
        <w:t xml:space="preserve"> 699,05рубля.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Pr="00414A68" w:rsidRDefault="00414A68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14A68">
        <w:rPr>
          <w:rFonts w:ascii="Times New Roman" w:hAnsi="Times New Roman" w:cs="Times New Roman"/>
          <w:b/>
          <w:color w:val="00B050"/>
          <w:sz w:val="32"/>
          <w:szCs w:val="32"/>
        </w:rPr>
        <w:t>ФИЗИЧЕСКАЯ КУЛЬТУРА И СПОРТ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Расходы на </w:t>
      </w:r>
      <w:r>
        <w:rPr>
          <w:rStyle w:val="11"/>
        </w:rPr>
        <w:t xml:space="preserve">физическую культуру и спорт </w:t>
      </w:r>
      <w:r>
        <w:t>планируются в размере 3 781,6 тысячи рублей.</w:t>
      </w: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>Данные средства позволят обеспечить функционирование детско-юношеской школы спортивного резерва, 2-х детско-юношеской спортивных школ, районного физкультурно-спортивного клуба по работе с населением, футбольного клуба и проведение спортивных и спортивно-массовых мероприятий.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Pr="00414A68" w:rsidRDefault="00414A68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14A68">
        <w:rPr>
          <w:rFonts w:ascii="Times New Roman" w:hAnsi="Times New Roman" w:cs="Times New Roman"/>
          <w:b/>
          <w:color w:val="00B050"/>
          <w:sz w:val="32"/>
          <w:szCs w:val="32"/>
        </w:rPr>
        <w:t>КУЛЬТУРА И СРЕДСТВА МАССОВОЙ ИНФОРМАЦИИ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содержание </w:t>
      </w:r>
      <w:r>
        <w:rPr>
          <w:rStyle w:val="11"/>
        </w:rPr>
        <w:t xml:space="preserve">учреждений культуры, проведение мероприятий в области культуры </w:t>
      </w:r>
      <w:r>
        <w:t>запланировано 4 067,6 тысячи рублей, или 2,4 процента средств бюджета.</w:t>
      </w: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>За счет данных средств района будут профинансированы 4 учреждений культуры.</w:t>
      </w: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финансирование </w:t>
      </w:r>
      <w:r>
        <w:rPr>
          <w:rStyle w:val="11"/>
        </w:rPr>
        <w:t xml:space="preserve">средств массовой информации </w:t>
      </w:r>
      <w:r>
        <w:t xml:space="preserve">предусмотрено средств в сумме 103,0 тысячи рублей из них на проведение государственной политики через печатные средства массовой информации </w:t>
      </w:r>
      <w:r w:rsidR="00BF63CF">
        <w:t>–</w:t>
      </w:r>
      <w:r>
        <w:t>75,0 тысячи рублей.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A4BFC" w:rsidRPr="000A4BFC" w:rsidRDefault="000A4BF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0A4BFC" w:rsidRDefault="000A4BFC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Pr="00414A68" w:rsidRDefault="00414A68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14A68">
        <w:rPr>
          <w:rFonts w:ascii="Times New Roman" w:hAnsi="Times New Roman" w:cs="Times New Roman"/>
          <w:b/>
          <w:color w:val="00B050"/>
          <w:sz w:val="32"/>
          <w:szCs w:val="32"/>
        </w:rPr>
        <w:t>ОБРАЗОВАНИЕ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414A68" w:rsidRDefault="00414A68" w:rsidP="00414A68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обеспечение функционирования </w:t>
      </w:r>
      <w:r>
        <w:rPr>
          <w:rStyle w:val="11"/>
        </w:rPr>
        <w:t xml:space="preserve">учреждений и мероприятий образования </w:t>
      </w:r>
      <w:r>
        <w:t>планируется направить 60 942,4 тысячи рублей, в том числе:</w:t>
      </w:r>
    </w:p>
    <w:p w:rsidR="00414A68" w:rsidRDefault="00414A68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auto"/>
          <w:sz w:val="32"/>
          <w:szCs w:val="32"/>
        </w:rPr>
        <w:drawing>
          <wp:inline distT="0" distB="0" distL="0" distR="0">
            <wp:extent cx="5978236" cy="3768437"/>
            <wp:effectExtent l="0" t="0" r="381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B41E5" w:rsidRDefault="007B41E5" w:rsidP="007B41E5">
      <w:pPr>
        <w:pStyle w:val="7"/>
        <w:shd w:val="clear" w:color="auto" w:fill="auto"/>
        <w:spacing w:before="0" w:after="0" w:line="240" w:lineRule="auto"/>
        <w:ind w:firstLine="709"/>
      </w:pPr>
      <w:r>
        <w:t>За счет средств районного бюджета по отрасли «Образование» финансируются 17 детских дошкольных учреждений, 19 школ, одна гимназия, 4 учреждения дополнительного образования детей и молодежи, детский оздоровительный лагерь, центр коррекционно-развивающего обучения и реабилитации, социально-педагогический центр, учебно</w:t>
      </w:r>
      <w:r w:rsidR="00BF63CF">
        <w:t>-</w:t>
      </w:r>
      <w:r>
        <w:t>методический кабинет.</w:t>
      </w:r>
    </w:p>
    <w:p w:rsidR="007B41E5" w:rsidRDefault="007B41E5" w:rsidP="007B41E5">
      <w:pPr>
        <w:pStyle w:val="7"/>
        <w:shd w:val="clear" w:color="auto" w:fill="auto"/>
        <w:spacing w:before="0" w:after="0" w:line="240" w:lineRule="auto"/>
        <w:ind w:firstLine="709"/>
      </w:pPr>
      <w:r>
        <w:t>Расходы на образование сформированы с учетом применения нормативов расходов на обучение и воспитание одного воспитанника, одного обучающегося в учреждениях дошкольного и общего среднего образования в рамках принимаемых Правительством решений.</w:t>
      </w:r>
    </w:p>
    <w:p w:rsidR="007B41E5" w:rsidRDefault="007B41E5" w:rsidP="007B41E5">
      <w:pPr>
        <w:pStyle w:val="7"/>
        <w:shd w:val="clear" w:color="auto" w:fill="auto"/>
        <w:spacing w:before="0" w:after="0" w:line="240" w:lineRule="auto"/>
        <w:ind w:firstLine="709"/>
      </w:pPr>
      <w:r>
        <w:t>Установлен минимальный норматив бюджетной обеспеченности на образование 60 632,0 тысячи рублей.</w:t>
      </w:r>
    </w:p>
    <w:p w:rsidR="007B41E5" w:rsidRDefault="007B41E5" w:rsidP="007B41E5">
      <w:pPr>
        <w:pStyle w:val="7"/>
        <w:shd w:val="clear" w:color="auto" w:fill="auto"/>
        <w:spacing w:before="0" w:after="0" w:line="240" w:lineRule="auto"/>
        <w:ind w:firstLine="709"/>
      </w:pPr>
      <w:r>
        <w:t>На дошкольное образование будет направлено 17 615,9 тысячи рублей (28,9% расходов на образование), общее среднее образование – 37 594,4 тысячи рублей (61,7%), дополнительное образование детей и молодежи – 4 709,0 тысячи рублей (7,7%), другие вопросы в области образования -1 023,1тысячи рублей (1,7%).</w:t>
      </w:r>
    </w:p>
    <w:p w:rsidR="007B41E5" w:rsidRDefault="007B41E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B41E5" w:rsidRPr="009B55F0" w:rsidRDefault="009B55F0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B55F0">
        <w:rPr>
          <w:rFonts w:ascii="Times New Roman" w:hAnsi="Times New Roman" w:cs="Times New Roman"/>
          <w:b/>
          <w:color w:val="00B050"/>
          <w:sz w:val="32"/>
          <w:szCs w:val="32"/>
        </w:rPr>
        <w:t>СОЦИАЛЬНАЯ ПОЛИТИКА</w:t>
      </w:r>
    </w:p>
    <w:p w:rsidR="007B41E5" w:rsidRDefault="007B41E5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мероприятия в области </w:t>
      </w:r>
      <w:r>
        <w:rPr>
          <w:rStyle w:val="11"/>
        </w:rPr>
        <w:t xml:space="preserve">социальной политики </w:t>
      </w:r>
      <w:r>
        <w:t>в 2024 году предусмотрено 6 161,9 тысячи рублей</w:t>
      </w:r>
      <w:r w:rsidRPr="00964AE2">
        <w:t xml:space="preserve">, </w:t>
      </w:r>
      <w:r w:rsidR="00BF63CF" w:rsidRPr="00964AE2">
        <w:t>в том числе</w:t>
      </w:r>
      <w:r w:rsidRPr="00964AE2">
        <w:t>: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содержание учреждений социальной защиты – 4 525,8 тысячи рублей, 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молодежную политику - 14,9 тысячи рублей, 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государственную адресную социальную помощь – 1 002,2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выплату пособий на погребение – 50,2 тысячи рублей, 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помощь в обеспечении жильем – 110,4 тысячи рублей, 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социальную поддержку ветеранов </w:t>
      </w:r>
      <w:r w:rsidR="00052524">
        <w:t>‒</w:t>
      </w:r>
      <w:r>
        <w:t xml:space="preserve"> 30,1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бесплатное обеспечение питанием детей первых двух лет жизни </w:t>
      </w:r>
      <w:r w:rsidR="00052524">
        <w:t>‒</w:t>
      </w:r>
      <w:r>
        <w:t xml:space="preserve"> 100,0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подготовку лагерей к летнему оздоровительному периоду </w:t>
      </w:r>
      <w:r w:rsidR="00052524">
        <w:t>‒</w:t>
      </w:r>
      <w:r>
        <w:t>40,0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финансирование государственного социального заказа </w:t>
      </w:r>
      <w:r w:rsidR="00052524">
        <w:t>‒</w:t>
      </w:r>
      <w:r>
        <w:t xml:space="preserve"> 15,5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предоставление безналичных жилищных субсидий населению</w:t>
      </w:r>
      <w:r w:rsidR="00BF63CF">
        <w:t>–</w:t>
      </w:r>
      <w:r>
        <w:t xml:space="preserve"> 27,8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оказание материальной помощи к новому учебному году </w:t>
      </w:r>
      <w:r w:rsidR="00052524">
        <w:t>‒</w:t>
      </w:r>
      <w:r>
        <w:t xml:space="preserve"> 211,6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расходы, связанные с социальным обслуживанием в замещающей семье – 6,0 тысячи рублей,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другие расходы – 27,4 тысячи рублей.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Средства буду направлены на содержание 20 коек в отделении круглосуточного пребывания, осуществление обслуживания 13 778 человек в государственном учреждении «Территориальный центр социального обслуживания населения Слонимского района», а также на другие расходы в области социальной политики.</w:t>
      </w:r>
    </w:p>
    <w:p w:rsidR="009B55F0" w:rsidRDefault="009B55F0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B55F0" w:rsidRPr="009B55F0" w:rsidRDefault="009B55F0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B55F0">
        <w:rPr>
          <w:rFonts w:ascii="Times New Roman" w:hAnsi="Times New Roman" w:cs="Times New Roman"/>
          <w:b/>
          <w:color w:val="00B050"/>
          <w:sz w:val="32"/>
          <w:szCs w:val="32"/>
        </w:rPr>
        <w:t>ЖИЛИЩНО-КОММУНАЛЬНОЕ ХОЗЯЙСТВО</w:t>
      </w:r>
    </w:p>
    <w:p w:rsidR="009B55F0" w:rsidRPr="009B55F0" w:rsidRDefault="009B55F0" w:rsidP="001675A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9B55F0">
        <w:rPr>
          <w:rFonts w:ascii="Times New Roman" w:hAnsi="Times New Roman" w:cs="Times New Roman"/>
          <w:b/>
          <w:color w:val="00B050"/>
          <w:sz w:val="32"/>
          <w:szCs w:val="32"/>
        </w:rPr>
        <w:t>И ЖИЛИЩНОЕ СТРОИТЕЛЬСТВО</w:t>
      </w:r>
    </w:p>
    <w:p w:rsidR="009B55F0" w:rsidRDefault="009B55F0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По </w:t>
      </w:r>
      <w:r>
        <w:rPr>
          <w:rStyle w:val="11"/>
        </w:rPr>
        <w:t xml:space="preserve">жилищно-коммунальному хозяйству и жилищному строительству </w:t>
      </w:r>
      <w:r>
        <w:t>предусмотрены ассигнования в сумме 31 309,7 тысячи рублей, в том числе: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финансирование части расходов по жилищно-коммунальным </w:t>
      </w:r>
      <w:r>
        <w:lastRenderedPageBreak/>
        <w:t>услугам населению, проживающему в обслуживаемом организациями системы ЖКХ жилищном фонде и необслуживаемом жилищном фонде</w:t>
      </w:r>
      <w:r w:rsidR="00052524" w:rsidRPr="00052524">
        <w:t xml:space="preserve"> </w:t>
      </w:r>
      <w:r w:rsidR="00052524">
        <w:t>‒</w:t>
      </w:r>
      <w:r>
        <w:t xml:space="preserve"> 20 395,1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текущее содержание объектов благоустройства – 5 618,3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текущий и капитальный ремонт жилищного фонда – 4 071,7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субсидирование льгот населению по жилищно-коммунальным услугам – 52,1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возмещение расходов, связанных с регистрацией граждан – 196,6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возмещение затрат по предоставлению безналичных жилищных субсидий </w:t>
      </w:r>
      <w:r w:rsidR="00052524">
        <w:t>‒</w:t>
      </w:r>
      <w:r>
        <w:t xml:space="preserve"> 21,8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жилищное строительство – 173,2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финансировании части расходов по оказанию услуг бань общего пользования и душевых – 403,9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>на капитальный ремонт, модернизацию тепловых сетей и центральных тепловых пунктов – 45,3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капитальный ремонт, модернизацию объектов водоснабжения и водоотведения </w:t>
      </w:r>
      <w:r w:rsidR="00052524">
        <w:t>‒</w:t>
      </w:r>
      <w:r>
        <w:t xml:space="preserve"> 196,9 тысячи рублей.</w:t>
      </w:r>
    </w:p>
    <w:p w:rsidR="009B55F0" w:rsidRDefault="009B55F0" w:rsidP="001675AD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9B55F0" w:rsidRPr="009B55F0" w:rsidRDefault="009B55F0" w:rsidP="009B55F0">
      <w:pPr>
        <w:pStyle w:val="7"/>
        <w:shd w:val="clear" w:color="auto" w:fill="auto"/>
        <w:spacing w:before="0" w:after="174" w:line="320" w:lineRule="exact"/>
        <w:jc w:val="center"/>
        <w:rPr>
          <w:b/>
          <w:color w:val="00B050"/>
        </w:rPr>
      </w:pPr>
      <w:r w:rsidRPr="009B55F0">
        <w:rPr>
          <w:rStyle w:val="11"/>
          <w:b/>
          <w:color w:val="00B050"/>
        </w:rPr>
        <w:t>НАЦИОНАЛЬНАЯ ЭКОНОМИКА</w:t>
      </w:r>
    </w:p>
    <w:p w:rsidR="003E1436" w:rsidRDefault="009B55F0" w:rsidP="003E1436">
      <w:pPr>
        <w:pStyle w:val="7"/>
        <w:shd w:val="clear" w:color="auto" w:fill="auto"/>
        <w:spacing w:before="0" w:after="0" w:line="240" w:lineRule="auto"/>
        <w:ind w:firstLine="709"/>
      </w:pPr>
      <w:r w:rsidRPr="00964AE2">
        <w:t xml:space="preserve">На </w:t>
      </w:r>
      <w:r w:rsidRPr="00964AE2">
        <w:rPr>
          <w:rStyle w:val="11"/>
        </w:rPr>
        <w:t xml:space="preserve">национальную экономику </w:t>
      </w:r>
      <w:r w:rsidRPr="00964AE2">
        <w:t>запланировано 4</w:t>
      </w:r>
      <w:r w:rsidR="00964AE2">
        <w:t> </w:t>
      </w:r>
      <w:r w:rsidRPr="00964AE2">
        <w:t>310</w:t>
      </w:r>
      <w:r w:rsidR="00964AE2">
        <w:t>,</w:t>
      </w:r>
      <w:r w:rsidRPr="00964AE2">
        <w:t>0 тысячи рублей, или 2,5 процента от объема районного бюджета, из которых</w:t>
      </w:r>
      <w:r w:rsidR="003E1436">
        <w:t xml:space="preserve"> предусмотрено:</w:t>
      </w:r>
      <w:r w:rsidRPr="00964AE2">
        <w:t xml:space="preserve"> </w:t>
      </w:r>
    </w:p>
    <w:p w:rsidR="003E1436" w:rsidRDefault="003E1436" w:rsidP="003E1436">
      <w:pPr>
        <w:pStyle w:val="7"/>
        <w:shd w:val="clear" w:color="auto" w:fill="auto"/>
        <w:spacing w:before="0" w:after="0" w:line="240" w:lineRule="auto"/>
        <w:ind w:firstLine="709"/>
      </w:pPr>
      <w:r>
        <w:t>на</w:t>
      </w:r>
      <w:r w:rsidR="009B55F0" w:rsidRPr="00964AE2">
        <w:t xml:space="preserve"> </w:t>
      </w:r>
      <w:r w:rsidR="009B55F0" w:rsidRPr="00964AE2">
        <w:rPr>
          <w:rStyle w:val="11"/>
        </w:rPr>
        <w:t>аграрный сектор</w:t>
      </w:r>
      <w:r>
        <w:rPr>
          <w:rStyle w:val="11"/>
        </w:rPr>
        <w:t xml:space="preserve"> –</w:t>
      </w:r>
      <w:r w:rsidR="009B55F0" w:rsidRPr="00964AE2">
        <w:t xml:space="preserve"> </w:t>
      </w:r>
      <w:r w:rsidRPr="00964AE2">
        <w:t>2</w:t>
      </w:r>
      <w:r>
        <w:t> </w:t>
      </w:r>
      <w:r w:rsidRPr="00964AE2">
        <w:t>079</w:t>
      </w:r>
      <w:r>
        <w:t>,</w:t>
      </w:r>
      <w:r w:rsidRPr="00964AE2">
        <w:t>4 тысячи рублей</w:t>
      </w:r>
      <w:r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</w:t>
      </w:r>
      <w:r>
        <w:rPr>
          <w:rStyle w:val="11"/>
        </w:rPr>
        <w:t>возмещение разницы в ценах на твердые виды топлива</w:t>
      </w:r>
      <w:r>
        <w:t>,</w:t>
      </w:r>
      <w:r w:rsidRPr="008D114E">
        <w:t xml:space="preserve"> </w:t>
      </w:r>
      <w:r>
        <w:t>реализуемого населению</w:t>
      </w:r>
      <w:r w:rsidR="003E1436">
        <w:t xml:space="preserve"> –</w:t>
      </w:r>
      <w:r>
        <w:t xml:space="preserve"> </w:t>
      </w:r>
      <w:r w:rsidRPr="008D114E">
        <w:t>244</w:t>
      </w:r>
      <w:r>
        <w:t>,</w:t>
      </w:r>
      <w:r w:rsidRPr="008D114E">
        <w:t>0</w:t>
      </w:r>
      <w:r>
        <w:t xml:space="preserve"> тысячи рублей;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</w:t>
      </w:r>
      <w:r>
        <w:rPr>
          <w:rStyle w:val="11"/>
        </w:rPr>
        <w:t xml:space="preserve">возмещение расходов на электроснабжение </w:t>
      </w:r>
      <w:r>
        <w:t>эксплуатируемого жилищного фонда</w:t>
      </w:r>
      <w:r w:rsidR="003E1436">
        <w:t xml:space="preserve"> –</w:t>
      </w:r>
      <w:r>
        <w:t xml:space="preserve"> </w:t>
      </w:r>
      <w:r w:rsidRPr="008D114E">
        <w:t>3</w:t>
      </w:r>
      <w:r>
        <w:t>0,0 тысячи рублей;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</w:t>
      </w:r>
      <w:r>
        <w:rPr>
          <w:rStyle w:val="11"/>
        </w:rPr>
        <w:t xml:space="preserve">возмещение части затрат по осуществлению городских и пригородных автобусных перевозок </w:t>
      </w:r>
      <w:r w:rsidR="003E1436">
        <w:rPr>
          <w:rStyle w:val="11"/>
        </w:rPr>
        <w:t>–</w:t>
      </w:r>
      <w:r>
        <w:t xml:space="preserve"> </w:t>
      </w:r>
      <w:r w:rsidRPr="008D114E">
        <w:t>1</w:t>
      </w:r>
      <w:r>
        <w:t> </w:t>
      </w:r>
      <w:r w:rsidRPr="008D114E">
        <w:t>854</w:t>
      </w:r>
      <w:r>
        <w:t>,</w:t>
      </w:r>
      <w:r w:rsidRPr="008D114E">
        <w:t>0</w:t>
      </w:r>
      <w:r>
        <w:t xml:space="preserve"> тысячи рублей;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</w:t>
      </w:r>
      <w:r>
        <w:rPr>
          <w:rStyle w:val="11"/>
        </w:rPr>
        <w:t xml:space="preserve">расходы </w:t>
      </w:r>
      <w:r>
        <w:rPr>
          <w:rStyle w:val="3"/>
        </w:rPr>
        <w:t xml:space="preserve">оператору </w:t>
      </w:r>
      <w:r>
        <w:rPr>
          <w:rStyle w:val="11"/>
        </w:rPr>
        <w:t xml:space="preserve">пассажирских перевозок </w:t>
      </w:r>
      <w:r w:rsidR="003E1436">
        <w:rPr>
          <w:rStyle w:val="11"/>
        </w:rPr>
        <w:t>–</w:t>
      </w:r>
      <w:r>
        <w:t xml:space="preserve"> 63,0 тысячи рублей;</w:t>
      </w:r>
    </w:p>
    <w:p w:rsidR="003E1436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содержание государственного учреждения «Слонимский районный туристический информационный центр» </w:t>
      </w:r>
      <w:r w:rsidR="003E1436">
        <w:t xml:space="preserve">– </w:t>
      </w:r>
      <w:r>
        <w:t>25,5 тысячи рублей</w:t>
      </w:r>
      <w:r w:rsidR="003E1436">
        <w:t>;</w:t>
      </w:r>
    </w:p>
    <w:p w:rsidR="009B55F0" w:rsidRDefault="009B55F0" w:rsidP="009B55F0">
      <w:pPr>
        <w:pStyle w:val="7"/>
        <w:shd w:val="clear" w:color="auto" w:fill="auto"/>
        <w:spacing w:before="0" w:after="0" w:line="240" w:lineRule="auto"/>
        <w:ind w:firstLine="709"/>
      </w:pPr>
      <w:r>
        <w:t xml:space="preserve">на </w:t>
      </w:r>
      <w:r>
        <w:rPr>
          <w:rStyle w:val="11"/>
        </w:rPr>
        <w:t xml:space="preserve">туризм </w:t>
      </w:r>
      <w:r>
        <w:t xml:space="preserve">– 5,0 тысячи рублей. </w:t>
      </w:r>
    </w:p>
    <w:p w:rsidR="003E1436" w:rsidRPr="008D114E" w:rsidRDefault="003E1436" w:rsidP="003E1436">
      <w:pPr>
        <w:pStyle w:val="7"/>
        <w:shd w:val="clear" w:color="auto" w:fill="auto"/>
        <w:spacing w:before="0" w:after="0" w:line="240" w:lineRule="auto"/>
        <w:ind w:firstLine="709"/>
      </w:pPr>
      <w:r w:rsidRPr="00964AE2">
        <w:t>За счет средств</w:t>
      </w:r>
      <w:r>
        <w:t xml:space="preserve"> предусмотренных на аграрный сектор</w:t>
      </w:r>
      <w:r w:rsidRPr="00964AE2">
        <w:t xml:space="preserve"> будут </w:t>
      </w:r>
      <w:r w:rsidRPr="00964AE2">
        <w:lastRenderedPageBreak/>
        <w:t>профинансированы расходы по содержанию бюджетных организаций ветеринарной сети – 1 03,9 тысячи рублей, на известкование кислых почв –</w:t>
      </w:r>
      <w:r>
        <w:t xml:space="preserve"> </w:t>
      </w:r>
      <w:r w:rsidRPr="00964AE2">
        <w:t>670,8 тысячи рублей, на проведение районных соревнований в агропромышленном комплексе – 26,7 тысячи рублей, на осуществление деятельности по производству сельскохозяйственной продукции – 348,9 тысячи рублей</w:t>
      </w:r>
      <w:r>
        <w:t>.</w:t>
      </w:r>
    </w:p>
    <w:p w:rsidR="003E1436" w:rsidRDefault="003E1436" w:rsidP="009B55F0">
      <w:pPr>
        <w:pStyle w:val="7"/>
        <w:shd w:val="clear" w:color="auto" w:fill="auto"/>
        <w:spacing w:before="0" w:after="0" w:line="240" w:lineRule="auto"/>
        <w:ind w:firstLine="709"/>
      </w:pPr>
    </w:p>
    <w:p w:rsidR="009B55F0" w:rsidRPr="00746301" w:rsidRDefault="009B55F0" w:rsidP="009B55F0">
      <w:pPr>
        <w:pStyle w:val="7"/>
        <w:shd w:val="clear" w:color="auto" w:fill="auto"/>
        <w:spacing w:before="0" w:after="0" w:line="240" w:lineRule="auto"/>
        <w:ind w:firstLine="709"/>
        <w:jc w:val="center"/>
        <w:rPr>
          <w:b/>
          <w:sz w:val="24"/>
          <w:szCs w:val="24"/>
        </w:rPr>
      </w:pPr>
      <w:r w:rsidRPr="009B55F0">
        <w:rPr>
          <w:rStyle w:val="11"/>
          <w:b/>
          <w:color w:val="00B050"/>
        </w:rPr>
        <w:t>ОХРАНА ОКРУЖАЮЩЕЙ СРЕДЫ</w:t>
      </w:r>
      <w:bookmarkStart w:id="1" w:name="_GoBack"/>
      <w:bookmarkEnd w:id="1"/>
    </w:p>
    <w:p w:rsidR="009B55F0" w:rsidRDefault="009B55F0" w:rsidP="009B55F0">
      <w:pPr>
        <w:pStyle w:val="2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64AE2">
        <w:rPr>
          <w:rFonts w:ascii="Times New Roman" w:hAnsi="Times New Roman" w:cs="Times New Roman"/>
          <w:sz w:val="32"/>
          <w:szCs w:val="32"/>
        </w:rPr>
        <w:t xml:space="preserve">На </w:t>
      </w:r>
      <w:r w:rsidRPr="00964AE2">
        <w:rPr>
          <w:rStyle w:val="11"/>
          <w:rFonts w:eastAsia="Courier New"/>
        </w:rPr>
        <w:t xml:space="preserve">охрану окружающей среды </w:t>
      </w:r>
      <w:r w:rsidRPr="00964AE2">
        <w:rPr>
          <w:rFonts w:ascii="Times New Roman" w:hAnsi="Times New Roman" w:cs="Times New Roman"/>
          <w:sz w:val="32"/>
          <w:szCs w:val="32"/>
        </w:rPr>
        <w:t xml:space="preserve">предусмотрено 1 060,1 тысячи рублей, из них </w:t>
      </w:r>
      <w:r w:rsidRPr="00964AE2">
        <w:rPr>
          <w:rFonts w:ascii="Times New Roman" w:eastAsia="Times New Roman" w:hAnsi="Times New Roman" w:cs="Times New Roman"/>
          <w:color w:val="auto"/>
          <w:sz w:val="32"/>
          <w:szCs w:val="32"/>
        </w:rPr>
        <w:t>расходы на регулирование распространения численности инвазивных растений – 33,4 тысячи рублей, на приобретение и установку воздуходувки на очистных сооружениях канализации г. Слонима – 600,0 тысячи рублей,</w:t>
      </w:r>
      <w:r w:rsidR="00E52CA9" w:rsidRPr="00964AE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на выполнение работ по </w:t>
      </w:r>
      <w:r w:rsidRPr="00964AE2">
        <w:rPr>
          <w:rFonts w:ascii="Times New Roman" w:eastAsia="Times New Roman" w:hAnsi="Times New Roman" w:cs="Times New Roman"/>
          <w:color w:val="auto"/>
          <w:sz w:val="32"/>
          <w:szCs w:val="32"/>
        </w:rPr>
        <w:t>очистк</w:t>
      </w:r>
      <w:r w:rsidR="00E52CA9" w:rsidRPr="00964AE2">
        <w:rPr>
          <w:rFonts w:ascii="Times New Roman" w:eastAsia="Times New Roman" w:hAnsi="Times New Roman" w:cs="Times New Roman"/>
          <w:color w:val="auto"/>
          <w:sz w:val="32"/>
          <w:szCs w:val="32"/>
        </w:rPr>
        <w:t>е</w:t>
      </w:r>
      <w:r w:rsidRPr="00964AE2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старого русла р. Щара – 426,7 тысячи рублей.</w:t>
      </w:r>
    </w:p>
    <w:p w:rsidR="009B55F0" w:rsidRPr="00746301" w:rsidRDefault="009B55F0" w:rsidP="009B55F0">
      <w:pPr>
        <w:pStyle w:val="7"/>
        <w:shd w:val="clear" w:color="auto" w:fill="auto"/>
        <w:tabs>
          <w:tab w:val="left" w:pos="663"/>
        </w:tabs>
        <w:spacing w:before="0" w:after="0" w:line="240" w:lineRule="auto"/>
        <w:ind w:firstLine="709"/>
        <w:rPr>
          <w:sz w:val="24"/>
          <w:szCs w:val="24"/>
        </w:rPr>
      </w:pPr>
    </w:p>
    <w:p w:rsidR="009B55F0" w:rsidRDefault="009B55F0" w:rsidP="009B55F0">
      <w:pPr>
        <w:jc w:val="center"/>
        <w:rPr>
          <w:rStyle w:val="140"/>
          <w:rFonts w:eastAsia="Courier New"/>
          <w:bCs w:val="0"/>
          <w:color w:val="00B050"/>
          <w:sz w:val="32"/>
          <w:szCs w:val="32"/>
        </w:rPr>
      </w:pPr>
      <w:r w:rsidRPr="009B55F0">
        <w:rPr>
          <w:rStyle w:val="140"/>
          <w:rFonts w:eastAsia="Courier New"/>
          <w:bCs w:val="0"/>
          <w:color w:val="00B050"/>
          <w:sz w:val="32"/>
          <w:szCs w:val="32"/>
        </w:rPr>
        <w:t>БЮДЖЕТЫ СЕЛЬСКИХ СОВЕТОВ</w:t>
      </w:r>
    </w:p>
    <w:p w:rsidR="009B55F0" w:rsidRPr="00C819C5" w:rsidRDefault="009B55F0" w:rsidP="009B55F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Формирование расчетных показателей по бюджетам первичного уровня произведено с применением единых подходов, принятых при формировании бюджета района. В 2024 году доходы бюджетов первичного уровня сформированы за счет отчислений от подоходного налога с физических лиц в сумме 1 585,2 тысячи рублей, что составляет 87,5 </w:t>
      </w:r>
      <w:r w:rsidR="00746301">
        <w:rPr>
          <w:rFonts w:ascii="Times New Roman" w:eastAsia="Times New Roman" w:hAnsi="Times New Roman" w:cs="Times New Roman"/>
          <w:color w:val="auto"/>
          <w:sz w:val="32"/>
          <w:szCs w:val="32"/>
        </w:rPr>
        <w:t>%</w:t>
      </w:r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в объеме их бюджетов, и других доходных источников в сумме 226,3 тысячи рублей, или 12,5</w:t>
      </w:r>
      <w:r w:rsidR="00746301">
        <w:rPr>
          <w:rFonts w:ascii="Times New Roman" w:eastAsia="Times New Roman" w:hAnsi="Times New Roman" w:cs="Times New Roman"/>
          <w:color w:val="auto"/>
          <w:sz w:val="32"/>
          <w:szCs w:val="32"/>
        </w:rPr>
        <w:t>%</w:t>
      </w:r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Доходы нижестоящих бюджетов спрогнозированы в сумме 1 811,5 тысячи рублей. В 2024 году в бюджеты первичного уровня передаются дотации в сумме 272,7 тысячи рублей. Бюджеты первичного уровня являются дотационными, кроме </w:t>
      </w:r>
      <w:bookmarkStart w:id="2" w:name="_Hlk59810409"/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Деревянчицкого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Жировичского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и </w:t>
      </w:r>
      <w:bookmarkEnd w:id="2"/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Сеньковщинского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. Размер дотации в объемах расходов сельских бюджетов составляет от 15,7</w:t>
      </w:r>
      <w:r w:rsidR="00746301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%</w:t>
      </w:r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(бюджет </w:t>
      </w:r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Озерницкого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сельсовета) до 31,5 </w:t>
      </w:r>
      <w:r w:rsidR="00746301">
        <w:rPr>
          <w:rFonts w:ascii="Times New Roman" w:eastAsia="Times New Roman" w:hAnsi="Times New Roman" w:cs="Times New Roman"/>
          <w:color w:val="auto"/>
          <w:sz w:val="32"/>
          <w:szCs w:val="32"/>
        </w:rPr>
        <w:t>%</w:t>
      </w:r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(бюджет </w:t>
      </w:r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Новодевятковичского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сельсовета). В районный бюджет передаются трансферты от нижестоящих бюджетов в сумме 177,7 тысячи рублей (</w:t>
      </w:r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Деревянчицкий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, </w:t>
      </w:r>
      <w:proofErr w:type="spellStart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Жировичский</w:t>
      </w:r>
      <w:proofErr w:type="spellEnd"/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, Сеньковщинский). Расходы бюджетов первичного уровня прогнозируются в общей сумме 1 906,5 тысячи рублей. На финансирование расходов по содержанию органов местного управления и самоуправления планируются средства в сумме 1 473,2 тысячи рублей, на оплату текущего содержания объектов благоустройства сельских населенных пунктов – 347,7 тысячи рублей.</w:t>
      </w:r>
    </w:p>
    <w:p w:rsidR="00B87089" w:rsidRDefault="009B55F0" w:rsidP="009B55F0">
      <w:pPr>
        <w:jc w:val="both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C819C5">
        <w:rPr>
          <w:rFonts w:ascii="Times New Roman" w:eastAsia="Times New Roman" w:hAnsi="Times New Roman" w:cs="Times New Roman"/>
          <w:color w:val="auto"/>
          <w:sz w:val="32"/>
          <w:szCs w:val="32"/>
        </w:rPr>
        <w:t>Расчетные показатели по бюджетам первичного уровня сформированы бездефицитными.</w:t>
      </w:r>
    </w:p>
    <w:p w:rsidR="00B87089" w:rsidRPr="00E671F5" w:rsidRDefault="00B87089" w:rsidP="00E671F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E671F5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>ФИНАНСИРОВАНИЕ ГОСУДАРСТВЕННЫХ ПРОГРАММ СОЦИАЛЬНО-ЭКОНОМИЧЕСКОЙ НАПРАВЛЕННОСТИ НА 2024 ГОД ЗА СЧЕТ КОНСОЛИДИРОВАННОГО БЮДЖЕТА</w:t>
      </w:r>
    </w:p>
    <w:p w:rsidR="00B87089" w:rsidRDefault="00B87089" w:rsidP="009B55F0">
      <w:pP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tbl>
      <w:tblPr>
        <w:tblStyle w:val="a4"/>
        <w:tblW w:w="9718" w:type="dxa"/>
        <w:tblLook w:val="04A0" w:firstRow="1" w:lastRow="0" w:firstColumn="1" w:lastColumn="0" w:noHBand="0" w:noVBand="1"/>
      </w:tblPr>
      <w:tblGrid>
        <w:gridCol w:w="811"/>
        <w:gridCol w:w="6272"/>
        <w:gridCol w:w="2629"/>
        <w:gridCol w:w="6"/>
      </w:tblGrid>
      <w:tr w:rsidR="007A34F6" w:rsidTr="006D4FD9">
        <w:tc>
          <w:tcPr>
            <w:tcW w:w="811" w:type="dxa"/>
            <w:shd w:val="clear" w:color="auto" w:fill="auto"/>
          </w:tcPr>
          <w:p w:rsidR="007A34F6" w:rsidRPr="00B87089" w:rsidRDefault="007A34F6" w:rsidP="00DD3D95">
            <w:pPr>
              <w:pStyle w:val="7"/>
              <w:shd w:val="clear" w:color="auto" w:fill="auto"/>
              <w:spacing w:before="0" w:after="0" w:line="320" w:lineRule="exact"/>
              <w:ind w:right="-67"/>
              <w:jc w:val="center"/>
            </w:pPr>
            <w:r w:rsidRPr="00CE6F38">
              <w:t>№ п/п</w:t>
            </w:r>
          </w:p>
        </w:tc>
        <w:tc>
          <w:tcPr>
            <w:tcW w:w="6272" w:type="dxa"/>
            <w:shd w:val="clear" w:color="auto" w:fill="auto"/>
          </w:tcPr>
          <w:p w:rsidR="007A34F6" w:rsidRPr="00B87089" w:rsidRDefault="007A34F6" w:rsidP="00DD3D95">
            <w:pPr>
              <w:pStyle w:val="7"/>
              <w:shd w:val="clear" w:color="auto" w:fill="auto"/>
              <w:spacing w:before="0" w:after="0" w:line="320" w:lineRule="exact"/>
              <w:ind w:right="600"/>
              <w:jc w:val="center"/>
            </w:pPr>
            <w:r w:rsidRPr="00CE6F38">
              <w:t>Наименование госпрограммы, подпрограммы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Pr="00B87089" w:rsidRDefault="007A34F6" w:rsidP="00DD3D95">
            <w:pPr>
              <w:pStyle w:val="7"/>
              <w:shd w:val="clear" w:color="auto" w:fill="auto"/>
              <w:spacing w:before="0" w:after="0" w:line="365" w:lineRule="exact"/>
              <w:jc w:val="center"/>
            </w:pPr>
            <w:r w:rsidRPr="00CE6F38">
              <w:t>Объём финансирования в 2024 году, тысячи рублей</w:t>
            </w: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9F7539">
              <w:t>Государственная программа «Аграрный бизнес»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2 079,3</w:t>
            </w: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9F7539">
              <w:t>подпрограмма 1 «Развитие растениеводства, переработки и реализация продукции растениеводства»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CE6F38">
              <w:t>670,8</w:t>
            </w: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tabs>
                <w:tab w:val="left" w:pos="105"/>
              </w:tabs>
              <w:ind w:right="19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DD3D95">
            <w:pPr>
              <w:pStyle w:val="7"/>
              <w:shd w:val="clear" w:color="auto" w:fill="auto"/>
              <w:spacing w:before="0" w:after="0" w:line="365" w:lineRule="exact"/>
            </w:pPr>
            <w:r w:rsidRPr="009F7539"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1 408,5</w:t>
            </w:r>
          </w:p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tabs>
                <w:tab w:val="left" w:pos="105"/>
              </w:tabs>
              <w:ind w:right="19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D3D9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DD3D95">
            <w:pPr>
              <w:pStyle w:val="7"/>
              <w:shd w:val="clear" w:color="auto" w:fill="auto"/>
              <w:spacing w:before="0" w:after="0" w:line="365" w:lineRule="exact"/>
            </w:pPr>
            <w:r w:rsidRPr="009F7539"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3 346,5</w:t>
            </w: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tabs>
                <w:tab w:val="left" w:pos="105"/>
              </w:tabs>
              <w:ind w:right="19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DD3D95">
            <w:pPr>
              <w:pStyle w:val="7"/>
              <w:shd w:val="clear" w:color="auto" w:fill="auto"/>
              <w:spacing w:before="0" w:after="0" w:line="365" w:lineRule="exact"/>
            </w:pPr>
            <w:r w:rsidRPr="009F7539">
              <w:t>подпрограмма 1 «Обеспечение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3 000,5</w:t>
            </w: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tabs>
                <w:tab w:val="left" w:pos="105"/>
              </w:tabs>
              <w:ind w:right="19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6272" w:type="dxa"/>
            <w:shd w:val="clear" w:color="auto" w:fill="auto"/>
          </w:tcPr>
          <w:p w:rsidR="007A34F6" w:rsidRPr="000E2F60" w:rsidRDefault="007A34F6" w:rsidP="00DD3D95">
            <w:pPr>
              <w:pStyle w:val="7"/>
              <w:shd w:val="clear" w:color="auto" w:fill="auto"/>
              <w:spacing w:before="0" w:after="0" w:line="365" w:lineRule="exact"/>
              <w:rPr>
                <w:rStyle w:val="5"/>
              </w:rPr>
            </w:pPr>
            <w:r w:rsidRPr="000E2F60">
              <w:t>Подпрограмма</w:t>
            </w:r>
            <w:r>
              <w:t xml:space="preserve"> </w:t>
            </w:r>
            <w:r w:rsidRPr="000E2F60">
              <w:t>2 «Управление государственным долгом, долгом органов местного управления и самоуправления»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346,0</w:t>
            </w:r>
          </w:p>
        </w:tc>
      </w:tr>
      <w:tr w:rsidR="007A34F6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tabs>
                <w:tab w:val="left" w:pos="105"/>
              </w:tabs>
              <w:ind w:right="195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D3D95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DD3D95">
            <w:pPr>
              <w:pStyle w:val="7"/>
              <w:shd w:val="clear" w:color="auto" w:fill="auto"/>
              <w:spacing w:before="0" w:after="0" w:line="365" w:lineRule="exact"/>
            </w:pPr>
            <w:r w:rsidRPr="009F7539">
              <w:t>Государственная программа «Социальная защита»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4 571,8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9F7539">
              <w:t>подпрограмма 1 «Социальное обслуживание и социальная поддержка»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4 571,8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4.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9F7539"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43 157,4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DD3D95">
            <w:pPr>
              <w:pStyle w:val="7"/>
              <w:shd w:val="clear" w:color="auto" w:fill="auto"/>
              <w:spacing w:before="0" w:after="0" w:line="320" w:lineRule="exact"/>
              <w:ind w:right="600"/>
            </w:pPr>
            <w:r w:rsidRPr="00DD3D95">
              <w:t>подпрограмма 1 «Семья и детство»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226,7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2 «Профилактика и контроль неинфекционных заболеваний»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43,4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Pr="00DD3D95" w:rsidRDefault="00464C48" w:rsidP="00746301">
            <w:pPr>
              <w:pStyle w:val="7"/>
              <w:shd w:val="clear" w:color="auto" w:fill="auto"/>
              <w:spacing w:before="0" w:after="0" w:line="320" w:lineRule="exact"/>
            </w:pPr>
            <w:r>
              <w:t>подп</w:t>
            </w:r>
            <w:r w:rsidR="007955BA">
              <w:t>рограмма</w:t>
            </w:r>
            <w:r>
              <w:t xml:space="preserve"> 5 «Профилактика ВИЧ-инфекции»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Pr="00DD3D95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2,3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42 884,9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lastRenderedPageBreak/>
              <w:t>5.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«Охрана окружающей среды и устойчивое использование природных ресурсов» на 2021-2025 год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1 060,1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4 «Сохранение и устойчивое использование биологического и ландшафтного разнообразия»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33,4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6 «Функционирование системы охраны окружающей среды»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1 026,7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6.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«Беларусь гостеприимная»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5,0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2 «Маркетинг туристических услуг»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5,0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7.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«Образование и молодежная политика» на 2021-2025 годы»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6</w:t>
            </w:r>
            <w:r w:rsidR="00072274">
              <w:t>2</w:t>
            </w:r>
            <w:r>
              <w:t> 069,6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1 «Дошкольное образование»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15 696,4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2 «Общее среднее образование»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37 374,1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3 «Специальное образование»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2 424,7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9 «Дополнительное образование детей и молодежи, функционирование учреждений, специализирующихся на реализации программ воспитания»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6 542,3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10 «Молодежная политика»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7,1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11 «Обеспечение функционирования системы образования»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25,0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8.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«Культура Беларуси»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4 101,2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1 «Культурное наследие»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1 114,0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2 «Искусство и творчество»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2 719,5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Pr="00DD3D95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645251">
              <w:t>подпрограмма 3 «Функционирование и инфраструктура сферы культуры»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Pr="00DD3D95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234,0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5 «Архивы Беларуси»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33,7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9.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«Физическая культура и спорт» на 2021</w:t>
            </w:r>
            <w:r w:rsidRPr="00DD3D95">
              <w:softHyphen/>
              <w:t>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3 781,6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3 781,6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10.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31 247,7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1 «Доступность услуг»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21 113,3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2 «Благоустройство»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5 701,8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 xml:space="preserve">подпрограмма 3 «Эффективное </w:t>
            </w:r>
            <w:r w:rsidRPr="00DD3D95">
              <w:lastRenderedPageBreak/>
              <w:t>теплоснабжение»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lastRenderedPageBreak/>
              <w:t>50,3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4 «Ремонт жилья»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4 155,6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5 «Чистая вода»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226,7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11.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«Строительство жилья»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283,6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7A34F6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подпрограмма 1 «Строительство жилых домов»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283,6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12.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15,1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13.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«Транспортный комплекс»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1 854,0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14.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«Массовая информация и книгоиздание»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 w:rsidRPr="00DD3D95">
              <w:t>105,0</w:t>
            </w:r>
          </w:p>
        </w:tc>
      </w:tr>
      <w:tr w:rsidR="007A34F6" w:rsidRPr="00DD3D95" w:rsidTr="006D4FD9">
        <w:tc>
          <w:tcPr>
            <w:tcW w:w="811" w:type="dxa"/>
            <w:shd w:val="clear" w:color="auto" w:fill="auto"/>
          </w:tcPr>
          <w:p w:rsidR="007A34F6" w:rsidRPr="00DD3D95" w:rsidRDefault="00E671F5" w:rsidP="00DD3D95">
            <w:pPr>
              <w:pStyle w:val="7"/>
              <w:shd w:val="clear" w:color="auto" w:fill="auto"/>
              <w:tabs>
                <w:tab w:val="left" w:pos="105"/>
              </w:tabs>
              <w:spacing w:before="0" w:after="0" w:line="320" w:lineRule="exact"/>
              <w:ind w:right="195"/>
              <w:jc w:val="center"/>
            </w:pPr>
            <w:r w:rsidRPr="00DD3D95">
              <w:t>15.</w:t>
            </w:r>
          </w:p>
        </w:tc>
        <w:tc>
          <w:tcPr>
            <w:tcW w:w="6272" w:type="dxa"/>
            <w:shd w:val="clear" w:color="auto" w:fill="auto"/>
          </w:tcPr>
          <w:p w:rsidR="007A34F6" w:rsidRDefault="007A34F6" w:rsidP="006D4FD9">
            <w:pPr>
              <w:pStyle w:val="7"/>
              <w:shd w:val="clear" w:color="auto" w:fill="auto"/>
              <w:spacing w:before="0" w:after="0" w:line="320" w:lineRule="exact"/>
              <w:ind w:right="-106"/>
            </w:pPr>
            <w:r w:rsidRPr="00DD3D95">
              <w:t>Государственная программа «Увековечение памяти о погибших при защите Отечества» на 2021-2025 годы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64,1</w:t>
            </w:r>
          </w:p>
        </w:tc>
      </w:tr>
      <w:tr w:rsidR="007A34F6" w:rsidRPr="00DD3D95" w:rsidTr="006D4FD9">
        <w:trPr>
          <w:gridAfter w:val="1"/>
          <w:wAfter w:w="6" w:type="dxa"/>
        </w:trPr>
        <w:tc>
          <w:tcPr>
            <w:tcW w:w="7083" w:type="dxa"/>
            <w:gridSpan w:val="2"/>
            <w:shd w:val="clear" w:color="auto" w:fill="auto"/>
          </w:tcPr>
          <w:p w:rsidR="007A34F6" w:rsidRDefault="007A34F6" w:rsidP="00DD3D95">
            <w:pPr>
              <w:pStyle w:val="7"/>
              <w:shd w:val="clear" w:color="auto" w:fill="auto"/>
              <w:spacing w:before="0" w:after="0" w:line="320" w:lineRule="exact"/>
              <w:ind w:right="600"/>
              <w:jc w:val="left"/>
            </w:pPr>
            <w:r w:rsidRPr="00DD3D95">
              <w:t>ВСЕГО</w:t>
            </w:r>
          </w:p>
        </w:tc>
        <w:tc>
          <w:tcPr>
            <w:tcW w:w="2629" w:type="dxa"/>
            <w:shd w:val="clear" w:color="auto" w:fill="auto"/>
          </w:tcPr>
          <w:p w:rsidR="007A34F6" w:rsidRDefault="007A34F6" w:rsidP="00746301">
            <w:pPr>
              <w:pStyle w:val="7"/>
              <w:shd w:val="clear" w:color="auto" w:fill="auto"/>
              <w:spacing w:before="0" w:after="0" w:line="320" w:lineRule="exact"/>
              <w:jc w:val="right"/>
            </w:pPr>
            <w:r>
              <w:t>15</w:t>
            </w:r>
            <w:r w:rsidR="00072274">
              <w:t>7</w:t>
            </w:r>
            <w:r>
              <w:t> 742,0</w:t>
            </w:r>
          </w:p>
        </w:tc>
      </w:tr>
    </w:tbl>
    <w:p w:rsidR="00B87089" w:rsidRDefault="00B87089" w:rsidP="009B55F0">
      <w:pP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7089" w:rsidRDefault="00B87089" w:rsidP="009B55F0">
      <w:pP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7089" w:rsidRDefault="00B87089" w:rsidP="009B55F0">
      <w:pP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7089" w:rsidRDefault="00B87089" w:rsidP="009B55F0">
      <w:pP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87089" w:rsidRPr="000650A8" w:rsidRDefault="00B87089" w:rsidP="009B55F0">
      <w:pPr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</w:p>
    <w:sectPr w:rsidR="00B87089" w:rsidRPr="000650A8" w:rsidSect="00746301">
      <w:pgSz w:w="11906" w:h="16838"/>
      <w:pgMar w:top="1134" w:right="680" w:bottom="993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1"/>
    <w:rsid w:val="000277DD"/>
    <w:rsid w:val="00052524"/>
    <w:rsid w:val="000650A8"/>
    <w:rsid w:val="00072274"/>
    <w:rsid w:val="000A4BFC"/>
    <w:rsid w:val="00141C59"/>
    <w:rsid w:val="001504A9"/>
    <w:rsid w:val="001675AD"/>
    <w:rsid w:val="00172724"/>
    <w:rsid w:val="00184705"/>
    <w:rsid w:val="00184FEA"/>
    <w:rsid w:val="001979D2"/>
    <w:rsid w:val="001C13AC"/>
    <w:rsid w:val="001D269B"/>
    <w:rsid w:val="001F0258"/>
    <w:rsid w:val="001F1250"/>
    <w:rsid w:val="001F29E9"/>
    <w:rsid w:val="00234D7A"/>
    <w:rsid w:val="00241585"/>
    <w:rsid w:val="00243E9D"/>
    <w:rsid w:val="002B356B"/>
    <w:rsid w:val="002E118C"/>
    <w:rsid w:val="003266E7"/>
    <w:rsid w:val="00326C83"/>
    <w:rsid w:val="00327C59"/>
    <w:rsid w:val="00355C86"/>
    <w:rsid w:val="00391F20"/>
    <w:rsid w:val="003C1CF7"/>
    <w:rsid w:val="003C1D6A"/>
    <w:rsid w:val="003E1436"/>
    <w:rsid w:val="003E2CB0"/>
    <w:rsid w:val="00414A68"/>
    <w:rsid w:val="00444E79"/>
    <w:rsid w:val="00464C48"/>
    <w:rsid w:val="00480FC5"/>
    <w:rsid w:val="004B3085"/>
    <w:rsid w:val="004D0D6F"/>
    <w:rsid w:val="004F563B"/>
    <w:rsid w:val="00522CF0"/>
    <w:rsid w:val="00541B07"/>
    <w:rsid w:val="00543B4E"/>
    <w:rsid w:val="00546C78"/>
    <w:rsid w:val="005725AB"/>
    <w:rsid w:val="005A0C80"/>
    <w:rsid w:val="005A1583"/>
    <w:rsid w:val="006004AD"/>
    <w:rsid w:val="00611CFB"/>
    <w:rsid w:val="00621C55"/>
    <w:rsid w:val="00633DC5"/>
    <w:rsid w:val="00647349"/>
    <w:rsid w:val="006A51B8"/>
    <w:rsid w:val="006C4A65"/>
    <w:rsid w:val="006D4FD9"/>
    <w:rsid w:val="00707F7B"/>
    <w:rsid w:val="00725C51"/>
    <w:rsid w:val="007260E0"/>
    <w:rsid w:val="00746301"/>
    <w:rsid w:val="007955BA"/>
    <w:rsid w:val="007A34F6"/>
    <w:rsid w:val="007A6272"/>
    <w:rsid w:val="007B41E5"/>
    <w:rsid w:val="007E679B"/>
    <w:rsid w:val="0087566F"/>
    <w:rsid w:val="008A13A4"/>
    <w:rsid w:val="009006AE"/>
    <w:rsid w:val="00951DA8"/>
    <w:rsid w:val="009567C0"/>
    <w:rsid w:val="00964AE2"/>
    <w:rsid w:val="0097560F"/>
    <w:rsid w:val="00982C2A"/>
    <w:rsid w:val="009A42FA"/>
    <w:rsid w:val="009B55F0"/>
    <w:rsid w:val="009C769A"/>
    <w:rsid w:val="009D0463"/>
    <w:rsid w:val="009D65B4"/>
    <w:rsid w:val="009D78FE"/>
    <w:rsid w:val="009F0454"/>
    <w:rsid w:val="009F7078"/>
    <w:rsid w:val="009F7539"/>
    <w:rsid w:val="00A07667"/>
    <w:rsid w:val="00A45C43"/>
    <w:rsid w:val="00A52E58"/>
    <w:rsid w:val="00A94C63"/>
    <w:rsid w:val="00AB6650"/>
    <w:rsid w:val="00B21C30"/>
    <w:rsid w:val="00B526D5"/>
    <w:rsid w:val="00B84E3D"/>
    <w:rsid w:val="00B87089"/>
    <w:rsid w:val="00BE5071"/>
    <w:rsid w:val="00BF2465"/>
    <w:rsid w:val="00BF63CF"/>
    <w:rsid w:val="00C14FBB"/>
    <w:rsid w:val="00C44B31"/>
    <w:rsid w:val="00C57EB2"/>
    <w:rsid w:val="00C819C5"/>
    <w:rsid w:val="00C930E5"/>
    <w:rsid w:val="00C97467"/>
    <w:rsid w:val="00CC749B"/>
    <w:rsid w:val="00CE6F38"/>
    <w:rsid w:val="00D35EA2"/>
    <w:rsid w:val="00D503F1"/>
    <w:rsid w:val="00DD1547"/>
    <w:rsid w:val="00DD3D95"/>
    <w:rsid w:val="00DF0610"/>
    <w:rsid w:val="00E066BD"/>
    <w:rsid w:val="00E52CA9"/>
    <w:rsid w:val="00E61A5D"/>
    <w:rsid w:val="00E671F5"/>
    <w:rsid w:val="00E91D98"/>
    <w:rsid w:val="00ED4E51"/>
    <w:rsid w:val="00EE5D77"/>
    <w:rsid w:val="00F01941"/>
    <w:rsid w:val="00F13441"/>
    <w:rsid w:val="00F16ADD"/>
    <w:rsid w:val="00F346FB"/>
    <w:rsid w:val="00F91219"/>
    <w:rsid w:val="00F9491C"/>
    <w:rsid w:val="00FC13D9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F994"/>
  <w15:chartTrackingRefBased/>
  <w15:docId w15:val="{F5A214B2-D1A2-4152-8299-DA65ED4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B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4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Основной текст (2)"/>
    <w:basedOn w:val="2"/>
    <w:rsid w:val="00C4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/>
    </w:rPr>
  </w:style>
  <w:style w:type="character" w:customStyle="1" w:styleId="1">
    <w:name w:val="Заголовок №1_"/>
    <w:basedOn w:val="a0"/>
    <w:rsid w:val="00C4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0">
    <w:name w:val="Заголовок №1"/>
    <w:basedOn w:val="1"/>
    <w:rsid w:val="00C4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a3">
    <w:name w:val="Основной текст_"/>
    <w:basedOn w:val="a0"/>
    <w:link w:val="7"/>
    <w:rsid w:val="00C44B31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Основной текст1"/>
    <w:basedOn w:val="a3"/>
    <w:rsid w:val="00C44B31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C44B31"/>
    <w:pPr>
      <w:shd w:val="clear" w:color="auto" w:fill="FFFFFF"/>
      <w:spacing w:before="300" w:after="300" w:line="341" w:lineRule="exact"/>
      <w:jc w:val="both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21">
    <w:name w:val="Основной текст2"/>
    <w:basedOn w:val="a3"/>
    <w:rsid w:val="00C44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table" w:styleId="a4">
    <w:name w:val="Table Grid"/>
    <w:basedOn w:val="a1"/>
    <w:uiPriority w:val="39"/>
    <w:rsid w:val="009A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3"/>
    <w:rsid w:val="009B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">
    <w:name w:val="Основной текст (14)_"/>
    <w:basedOn w:val="a0"/>
    <w:rsid w:val="009B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0">
    <w:name w:val="Основной текст (14)"/>
    <w:basedOn w:val="14"/>
    <w:rsid w:val="009B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22">
    <w:name w:val="Body Text Indent 2"/>
    <w:basedOn w:val="a"/>
    <w:link w:val="23"/>
    <w:uiPriority w:val="99"/>
    <w:semiHidden/>
    <w:unhideWhenUsed/>
    <w:rsid w:val="009B55F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B55F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">
    <w:name w:val="Основной текст4"/>
    <w:basedOn w:val="a3"/>
    <w:rsid w:val="00B87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B87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35E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A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microsoft.com/office/2014/relationships/chartEx" Target="charts/chartEx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20" baseline="0">
              <a:solidFill>
                <a:srgbClr val="0099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(тысячи рублей)</c:v>
                </c:pt>
              </c:strCache>
            </c:strRef>
          </c:tx>
          <c:dPt>
            <c:idx val="0"/>
            <c:bubble3D val="0"/>
            <c:explosion val="11"/>
            <c:spPr>
              <a:solidFill>
                <a:srgbClr val="82DC78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5A27-45E4-AF89-BE221FFEEC2F}"/>
              </c:ext>
            </c:extLst>
          </c:dPt>
          <c:dPt>
            <c:idx val="1"/>
            <c:bubble3D val="0"/>
            <c:spPr>
              <a:solidFill>
                <a:srgbClr val="0099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A27-45E4-AF89-BE221FFEEC2F}"/>
              </c:ext>
            </c:extLst>
          </c:dPt>
          <c:dLbls>
            <c:dLbl>
              <c:idx val="0"/>
              <c:layout>
                <c:manualLayout>
                  <c:x val="-8.7813986562770605E-2"/>
                  <c:y val="0.3145018505267115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2000" b="0" i="0" u="none" strike="noStrike" kern="1200" baseline="0"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19451E4-A317-4560-BBF3-73B2AF75FCEB}" type="VALUE">
                      <a:rPr lang="en-US"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a:rPr>
                      <a:pPr>
                        <a:defRPr sz="2000"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2000" b="0" i="0" u="none" strike="noStrike" kern="1200" baseline="0"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09871357640801"/>
                      <c:h val="0.1175214644779571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A27-45E4-AF89-BE221FFEEC2F}"/>
                </c:ext>
              </c:extLst>
            </c:dLbl>
            <c:dLbl>
              <c:idx val="1"/>
              <c:layout>
                <c:manualLayout>
                  <c:x val="8.513688710789365E-3"/>
                  <c:y val="-0.1036424191656894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2000" b="0" i="0" u="none" strike="noStrike" kern="1200" baseline="0"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FE41AB7-FFB2-4C43-B5A7-C31178537127}" type="VALUE">
                      <a:rPr lang="en-US"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a:rPr>
                      <a:pPr>
                        <a:defRPr sz="2000"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en-US" baseline="0"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endParaRPr>
                  </a:p>
                  <a:p>
                    <a:pPr>
                      <a:defRPr sz="2000"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0" i="0" u="none" strike="noStrike" kern="1200" baseline="0"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A27-45E4-AF89-BE221FFEEC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Собственные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95388.800000000003</c:v>
                </c:pt>
                <c:pt idx="1">
                  <c:v>73046.100000000006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27-45E4-AF89-BE221FFEEC2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Собственные доходы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dPt>
            <c:idx val="0"/>
            <c:bubble3D val="0"/>
            <c:spPr>
              <a:solidFill>
                <a:schemeClr val="accent4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A2-41CB-8F64-A0F45E5E8EB1}"/>
              </c:ext>
            </c:extLst>
          </c:dPt>
          <c:dPt>
            <c:idx val="1"/>
            <c:bubble3D val="0"/>
            <c:explosion val="10"/>
            <c:spPr>
              <a:solidFill>
                <a:srgbClr val="82DC7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A2-41CB-8F64-A0F45E5E8EB1}"/>
              </c:ext>
            </c:extLst>
          </c:dPt>
          <c:dLbls>
            <c:dLbl>
              <c:idx val="0"/>
              <c:layout>
                <c:manualLayout>
                  <c:x val="0.14343434343434341"/>
                  <c:y val="-1.89873417721520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16B6277-4CD2-42A9-89FE-940BEB84DF3D}" type="VALUE">
                      <a:rPr lang="en-US"/>
                      <a:pPr>
                        <a:defRPr sz="11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en-US" baseline="0"/>
                      <a:t>; </a:t>
                    </a:r>
                  </a:p>
                  <a:p>
                    <a:pPr>
                      <a:defRPr sz="11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92,6%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48685277976616"/>
                      <c:h val="0.134747001561513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3A2-41CB-8F64-A0F45E5E8EB1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632B548-F640-4F98-8FB9-414822A5169C}" type="VALUE"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sz="1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; 7,4%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3A2-41CB-8F64-A0F45E5E8E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Неналоговые доходы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88367.6</c:v>
                </c:pt>
                <c:pt idx="1">
                  <c:v>7021.2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A2-41CB-8F64-A0F45E5E8EB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Безвозмездные поступления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F0B-4DA8-805E-8457E43A2F6B}"/>
              </c:ext>
            </c:extLst>
          </c:dPt>
          <c:dPt>
            <c:idx val="1"/>
            <c:bubble3D val="0"/>
            <c:explosion val="14"/>
            <c:spPr>
              <a:solidFill>
                <a:schemeClr val="accent5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F0B-4DA8-805E-8457E43A2F6B}"/>
              </c:ext>
            </c:extLst>
          </c:dPt>
          <c:dLbls>
            <c:dLbl>
              <c:idx val="0"/>
              <c:layout>
                <c:manualLayout>
                  <c:x val="-0.14093264248704662"/>
                  <c:y val="1.2804097311139564E-2"/>
                </c:manualLayout>
              </c:layout>
              <c:tx>
                <c:rich>
                  <a:bodyPr/>
                  <a:lstStyle/>
                  <a:p>
                    <a:fld id="{7FAD38D9-AAB4-4463-BCF4-1B8597FA251B}" type="VALUE">
                      <a:rPr lang="en-US" sz="1100"/>
                      <a:pPr/>
                      <a:t>[ЗНАЧЕНИЕ]</a:t>
                    </a:fld>
                    <a:r>
                      <a:rPr lang="en-US" baseline="0"/>
                      <a:t>; 99,1%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F0B-4DA8-805E-8457E43A2F6B}"/>
                </c:ext>
              </c:extLst>
            </c:dLbl>
            <c:dLbl>
              <c:idx val="1"/>
              <c:layout>
                <c:manualLayout>
                  <c:x val="-4.1450777202072537E-3"/>
                  <c:y val="-2.091033435161194E-2"/>
                </c:manualLayout>
              </c:layout>
              <c:tx>
                <c:rich>
                  <a:bodyPr/>
                  <a:lstStyle/>
                  <a:p>
                    <a:fld id="{677B9703-51AD-4FFE-89E8-4B2C42982CBC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; 0,9%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00379421484236"/>
                      <c:h val="0.1076135649497077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F0B-4DA8-805E-8457E43A2F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Дотации</c:v>
                </c:pt>
                <c:pt idx="1">
                  <c:v>Субвенции на финансирование расходов по развитию сельского хозяйства и рыбохозяйственной деятельности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72375.199999999997</c:v>
                </c:pt>
                <c:pt idx="1">
                  <c:v>670.8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0B-4DA8-805E-8457E43A2F6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936118477418301"/>
          <c:y val="0.17601164131052122"/>
          <c:w val="0.34576834890457347"/>
          <c:h val="0.7213015146474168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99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20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(тысячи рублей)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F1A-417A-A3F8-1E6A1D9094E6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24-4026-8299-CEF2657B54FC}"/>
              </c:ext>
            </c:extLst>
          </c:dPt>
          <c:dPt>
            <c:idx val="2"/>
            <c:bubble3D val="0"/>
            <c:spPr>
              <a:solidFill>
                <a:srgbClr val="EF19E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A24-4026-8299-CEF2657B54FC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A24-4026-8299-CEF2657B54FC}"/>
              </c:ext>
            </c:extLst>
          </c:dPt>
          <c:dPt>
            <c:idx val="4"/>
            <c:bubble3D val="0"/>
            <c:spPr>
              <a:solidFill>
                <a:srgbClr val="82DC78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A24-4026-8299-CEF2657B54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Налог на прибыль</c:v>
                </c:pt>
                <c:pt idx="2">
                  <c:v>Другие налоговые доходы</c:v>
                </c:pt>
                <c:pt idx="3">
                  <c:v>НДС</c:v>
                </c:pt>
                <c:pt idx="4">
                  <c:v>Налоги на собственность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52841.5</c:v>
                </c:pt>
                <c:pt idx="1">
                  <c:v>7392</c:v>
                </c:pt>
                <c:pt idx="2">
                  <c:v>5576.5</c:v>
                </c:pt>
                <c:pt idx="3">
                  <c:v>13397.6</c:v>
                </c:pt>
                <c:pt idx="4">
                  <c:v>9160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24-4026-8299-CEF2657B54F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</c:v>
                </c:pt>
              </c:strCache>
            </c:strRef>
          </c:tx>
          <c:dPt>
            <c:idx val="0"/>
            <c:bubble3D val="0"/>
            <c:spPr>
              <a:solidFill>
                <a:srgbClr val="00FF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814-45E4-8A3C-9D416708EC84}"/>
              </c:ext>
            </c:extLst>
          </c:dPt>
          <c:dPt>
            <c:idx val="1"/>
            <c:bubble3D val="0"/>
            <c:spPr>
              <a:solidFill>
                <a:srgbClr val="FF33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814-45E4-8A3C-9D416708EC84}"/>
              </c:ext>
            </c:extLst>
          </c:dPt>
          <c:dPt>
            <c:idx val="2"/>
            <c:bubble3D val="0"/>
            <c:spPr>
              <a:solidFill>
                <a:srgbClr val="99FF3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814-45E4-8A3C-9D416708EC84}"/>
              </c:ext>
            </c:extLst>
          </c:dPt>
          <c:dPt>
            <c:idx val="3"/>
            <c:bubble3D val="0"/>
            <c:spPr>
              <a:solidFill>
                <a:srgbClr val="0099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14-45E4-8A3C-9D416708EC84}"/>
              </c:ext>
            </c:extLst>
          </c:dPt>
          <c:dPt>
            <c:idx val="4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14-45E4-8A3C-9D416708EC8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814-45E4-8A3C-9D416708EC8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3814-45E4-8A3C-9D416708EC8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814-45E4-8A3C-9D416708EC84}"/>
              </c:ext>
            </c:extLst>
          </c:dPt>
          <c:dLbls>
            <c:dLbl>
              <c:idx val="0"/>
              <c:layout>
                <c:manualLayout>
                  <c:x val="-1.2276214833759591E-2"/>
                  <c:y val="-1.34390538906061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14-45E4-8A3C-9D416708EC84}"/>
                </c:ext>
              </c:extLst>
            </c:dLbl>
            <c:dLbl>
              <c:idx val="1"/>
              <c:layout>
                <c:manualLayout>
                  <c:x val="5.5242966751918234E-2"/>
                  <c:y val="-1.61268646687273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14-45E4-8A3C-9D416708EC84}"/>
                </c:ext>
              </c:extLst>
            </c:dLbl>
            <c:dLbl>
              <c:idx val="2"/>
              <c:layout>
                <c:manualLayout>
                  <c:x val="0.18113361147857943"/>
                  <c:y val="2.691427802449199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14-45E4-8A3C-9D416708EC84}"/>
                </c:ext>
              </c:extLst>
            </c:dLbl>
            <c:dLbl>
              <c:idx val="3"/>
              <c:layout>
                <c:manualLayout>
                  <c:x val="0.17800511508951405"/>
                  <c:y val="-7.52587017873941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14-45E4-8A3C-9D416708EC84}"/>
                </c:ext>
              </c:extLst>
            </c:dLbl>
            <c:dLbl>
              <c:idx val="4"/>
              <c:layout>
                <c:manualLayout>
                  <c:x val="-4.7058823529411764E-2"/>
                  <c:y val="3.49415401155758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14-45E4-8A3C-9D416708EC84}"/>
                </c:ext>
              </c:extLst>
            </c:dLbl>
            <c:dLbl>
              <c:idx val="5"/>
              <c:layout>
                <c:manualLayout>
                  <c:x val="-6.9565217391304376E-2"/>
                  <c:y val="8.063432334363636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14-45E4-8A3C-9D416708EC84}"/>
                </c:ext>
              </c:extLst>
            </c:dLbl>
            <c:dLbl>
              <c:idx val="6"/>
              <c:layout>
                <c:manualLayout>
                  <c:x val="-0.21278772378516625"/>
                  <c:y val="8.063432334363660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814-45E4-8A3C-9D416708EC84}"/>
                </c:ext>
              </c:extLst>
            </c:dLbl>
            <c:dLbl>
              <c:idx val="7"/>
              <c:layout>
                <c:manualLayout>
                  <c:x val="-0.13094629156010235"/>
                  <c:y val="-5.375621556242440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14-45E4-8A3C-9D416708EC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spc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Проценты за пользование денежными средствами</c:v>
                </c:pt>
                <c:pt idx="1">
                  <c:v>Дивиденды по акциям</c:v>
                </c:pt>
                <c:pt idx="2">
                  <c:v>Доходы от сдачи в аренду земельных участков</c:v>
                </c:pt>
                <c:pt idx="3">
                  <c:v>Компенсация расходов государства </c:v>
                </c:pt>
                <c:pt idx="4">
                  <c:v>Доходы от сдачи в аренду иного имущества</c:v>
                </c:pt>
                <c:pt idx="5">
                  <c:v>Доходы от реализации имущества</c:v>
                </c:pt>
                <c:pt idx="6">
                  <c:v>Штрафы, удержания</c:v>
                </c:pt>
                <c:pt idx="7">
                  <c:v>Прочие неналоговые доходы</c:v>
                </c:pt>
              </c:strCache>
            </c:strRef>
          </c:cat>
          <c:val>
            <c:numRef>
              <c:f>Лист1!$B$2:$B$9</c:f>
              <c:numCache>
                <c:formatCode>#,##0.0</c:formatCode>
                <c:ptCount val="8"/>
                <c:pt idx="0">
                  <c:v>210</c:v>
                </c:pt>
                <c:pt idx="1">
                  <c:v>250</c:v>
                </c:pt>
                <c:pt idx="2">
                  <c:v>527.29999999999995</c:v>
                </c:pt>
                <c:pt idx="3">
                  <c:v>4214.1000000000004</c:v>
                </c:pt>
                <c:pt idx="4">
                  <c:v>100</c:v>
                </c:pt>
                <c:pt idx="5">
                  <c:v>751.1</c:v>
                </c:pt>
                <c:pt idx="6">
                  <c:v>445</c:v>
                </c:pt>
                <c:pt idx="7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14-45E4-8A3C-9D416708E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7637513341522852E-2"/>
          <c:y val="0.74116509189879032"/>
          <c:w val="0.80305390982137459"/>
          <c:h val="0.25883490810120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pc="0" baseline="0"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1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1.9270816324831803E-2"/>
          <c:w val="1"/>
          <c:h val="0.770968941382327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РАСХОДОВ: 168 434,9 тысячи рублей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 w="63500" h="82550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CB9-476C-AD83-345637E3F5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CCB9-476C-AD83-345637E3F5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CB9-476C-AD83-345637E3F55D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bevelB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CB9-476C-AD83-345637E3F5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CCB9-476C-AD83-345637E3F5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CB9-476C-AD83-345637E3F55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CCB9-476C-AD83-345637E3F55D}"/>
              </c:ext>
            </c:extLst>
          </c:dPt>
          <c:dPt>
            <c:idx val="7"/>
            <c:bubble3D val="0"/>
            <c:spPr>
              <a:solidFill>
                <a:srgbClr val="CC66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CB9-476C-AD83-345637E3F55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CCB9-476C-AD83-345637E3F55D}"/>
              </c:ext>
            </c:extLst>
          </c:dPt>
          <c:dPt>
            <c:idx val="9"/>
            <c:bubble3D val="0"/>
            <c:spPr>
              <a:solidFill>
                <a:srgbClr val="CCCC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B9-476C-AD83-345637E3F55D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CB9-476C-AD83-345637E3F55D}"/>
              </c:ext>
            </c:extLst>
          </c:dPt>
          <c:dPt>
            <c:idx val="11"/>
            <c:bubble3D val="0"/>
            <c:spPr>
              <a:solidFill>
                <a:srgbClr val="00CCF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1905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CCB9-476C-AD83-345637E3F55D}"/>
              </c:ext>
            </c:extLst>
          </c:dPt>
          <c:dPt>
            <c:idx val="12"/>
            <c:bubble3D val="0"/>
            <c:spPr>
              <a:solidFill>
                <a:srgbClr val="6600CC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127000" h="127000"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B9-476C-AD83-345637E3F55D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prst="angle"/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CCB9-476C-AD83-345637E3F55D}"/>
              </c:ext>
            </c:extLst>
          </c:dPt>
          <c:dLbls>
            <c:dLbl>
              <c:idx val="0"/>
              <c:layout>
                <c:manualLayout>
                  <c:x val="-1.0642826734780914E-2"/>
                  <c:y val="-8.457374830852502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CB9-476C-AD83-345637E3F55D}"/>
                </c:ext>
              </c:extLst>
            </c:dLbl>
            <c:dLbl>
              <c:idx val="1"/>
              <c:layout>
                <c:manualLayout>
                  <c:x val="2.1285653469559954E-3"/>
                  <c:y val="1.3531799729364006E-2"/>
                </c:manualLayout>
              </c:layout>
              <c:spPr>
                <a:solidFill>
                  <a:schemeClr val="lt1"/>
                </a:solidFill>
                <a:ln w="12700" cap="flat" cmpd="sng" algn="ctr">
                  <a:solidFill>
                    <a:schemeClr val="accent6">
                      <a:lumMod val="60000"/>
                      <a:lumOff val="40000"/>
                    </a:schemeClr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CB9-476C-AD83-345637E3F55D}"/>
                </c:ext>
              </c:extLst>
            </c:dLbl>
            <c:dLbl>
              <c:idx val="2"/>
              <c:layout>
                <c:manualLayout>
                  <c:x val="3.263640999490041E-2"/>
                  <c:y val="5.72497357078962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CB9-476C-AD83-345637E3F55D}"/>
                </c:ext>
              </c:extLst>
            </c:dLbl>
            <c:dLbl>
              <c:idx val="3"/>
              <c:layout>
                <c:manualLayout>
                  <c:x val="-1.0642826734780758E-2"/>
                  <c:y val="8.457374830852503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CB9-476C-AD83-345637E3F55D}"/>
                </c:ext>
              </c:extLst>
            </c:dLbl>
            <c:dLbl>
              <c:idx val="4"/>
              <c:layout>
                <c:manualLayout>
                  <c:x val="-1.9157088122605363E-2"/>
                  <c:y val="5.75101488497970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CB9-476C-AD83-345637E3F55D}"/>
                </c:ext>
              </c:extLst>
            </c:dLbl>
            <c:dLbl>
              <c:idx val="5"/>
              <c:layout>
                <c:manualLayout>
                  <c:x val="-6.8114091102596849E-2"/>
                  <c:y val="3.2138024357239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CB9-476C-AD83-345637E3F55D}"/>
                </c:ext>
              </c:extLst>
            </c:dLbl>
            <c:dLbl>
              <c:idx val="6"/>
              <c:layout>
                <c:manualLayout>
                  <c:x val="-0.10004257130693912"/>
                  <c:y val="3.382949932341001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CB9-476C-AD83-345637E3F55D}"/>
                </c:ext>
              </c:extLst>
            </c:dLbl>
            <c:dLbl>
              <c:idx val="7"/>
              <c:layout>
                <c:manualLayout>
                  <c:x val="6.1193268740438551E-3"/>
                  <c:y val="1.46377165162233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CB9-476C-AD83-345637E3F55D}"/>
                </c:ext>
              </c:extLst>
            </c:dLbl>
            <c:dLbl>
              <c:idx val="8"/>
              <c:layout>
                <c:manualLayout>
                  <c:x val="0"/>
                  <c:y val="-6.08930987821380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CB9-476C-AD83-345637E3F55D}"/>
                </c:ext>
              </c:extLst>
            </c:dLbl>
            <c:dLbl>
              <c:idx val="9"/>
              <c:layout>
                <c:manualLayout>
                  <c:x val="2.1285653469561515E-3"/>
                  <c:y val="-1.01488497970230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B9-476C-AD83-345637E3F55D}"/>
                </c:ext>
              </c:extLst>
            </c:dLbl>
            <c:dLbl>
              <c:idx val="10"/>
              <c:layout>
                <c:manualLayout>
                  <c:x val="-2.3414218816517746E-2"/>
                  <c:y val="-2.53721244925575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B9-476C-AD83-345637E3F55D}"/>
                </c:ext>
              </c:extLst>
            </c:dLbl>
            <c:dLbl>
              <c:idx val="11"/>
              <c:layout>
                <c:manualLayout>
                  <c:x val="-3.6185610898254575E-2"/>
                  <c:y val="-6.7658932053317425E-2"/>
                </c:manualLayout>
              </c:layout>
              <c:spPr>
                <a:noFill/>
                <a:ln>
                  <a:solidFill>
                    <a:schemeClr val="accent6">
                      <a:lumMod val="60000"/>
                      <a:lumOff val="4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95572584078331E-2"/>
                      <c:h val="2.36553439953970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CCB9-476C-AD83-345637E3F55D}"/>
                </c:ext>
              </c:extLst>
            </c:dLbl>
            <c:dLbl>
              <c:idx val="12"/>
              <c:layout>
                <c:manualLayout>
                  <c:x val="9.5785440613026823E-2"/>
                  <c:y val="-2.706359945872802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B9-476C-AD83-345637E3F55D}"/>
                </c:ext>
              </c:extLst>
            </c:dLbl>
            <c:dLbl>
              <c:idx val="13"/>
              <c:layout>
                <c:manualLayout>
                  <c:x val="9.5869454360020243E-2"/>
                  <c:y val="1.30113035699764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CB9-476C-AD83-345637E3F55D}"/>
                </c:ext>
              </c:extLst>
            </c:dLbl>
            <c:spPr>
              <a:noFill/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Лист1!$A$2:$A$15</c:f>
              <c:strCache>
                <c:ptCount val="14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 и спорт</c:v>
                </c:pt>
                <c:pt idx="3">
                  <c:v>Сельское хозяйство</c:v>
                </c:pt>
                <c:pt idx="4">
                  <c:v>Транспорт</c:v>
                </c:pt>
                <c:pt idx="5">
                  <c:v>Охрана природы</c:v>
                </c:pt>
                <c:pt idx="6">
                  <c:v>Иные общегосударственные вопросы</c:v>
                </c:pt>
                <c:pt idx="7">
                  <c:v>Здравоохранение</c:v>
                </c:pt>
                <c:pt idx="8">
                  <c:v>Культура и СМИ</c:v>
                </c:pt>
                <c:pt idx="9">
                  <c:v>ЖКУ и жилищное строительство</c:v>
                </c:pt>
                <c:pt idx="10">
                  <c:v>Государственные органы общего назначения</c:v>
                </c:pt>
                <c:pt idx="11">
                  <c:v>Резервные фонды</c:v>
                </c:pt>
                <c:pt idx="12">
                  <c:v>Топливо</c:v>
                </c:pt>
                <c:pt idx="13">
                  <c:v>Обслуживание государственного долга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60942.400000000001</c:v>
                </c:pt>
                <c:pt idx="1">
                  <c:v>6162</c:v>
                </c:pt>
                <c:pt idx="2">
                  <c:v>3781.6</c:v>
                </c:pt>
                <c:pt idx="3">
                  <c:v>2079.3000000000002</c:v>
                </c:pt>
                <c:pt idx="4">
                  <c:v>1917</c:v>
                </c:pt>
                <c:pt idx="5">
                  <c:v>1060.0999999999999</c:v>
                </c:pt>
                <c:pt idx="6">
                  <c:v>3367.4</c:v>
                </c:pt>
                <c:pt idx="7">
                  <c:v>42931.3</c:v>
                </c:pt>
                <c:pt idx="8">
                  <c:v>4067.5</c:v>
                </c:pt>
                <c:pt idx="9">
                  <c:v>31657.4</c:v>
                </c:pt>
                <c:pt idx="10">
                  <c:v>7921.4</c:v>
                </c:pt>
                <c:pt idx="11">
                  <c:v>1759.8</c:v>
                </c:pt>
                <c:pt idx="12">
                  <c:v>274</c:v>
                </c:pt>
                <c:pt idx="13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9-476C-AD83-345637E3F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3788844215892868"/>
          <c:w val="1"/>
          <c:h val="0.262111557841071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B prst="angle"/>
        </a:sp3d>
      </c:spPr>
    </c:sideWall>
    <c:back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>
          <a:bevelB prst="angle"/>
        </a:sp3d>
      </c:spPr>
    </c:backWall>
    <c:plotArea>
      <c:layout>
        <c:manualLayout>
          <c:layoutTarget val="inner"/>
          <c:xMode val="edge"/>
          <c:yMode val="edge"/>
          <c:x val="0.18943647669041369"/>
          <c:y val="5.3859778648471378E-2"/>
          <c:w val="0.79856267966504191"/>
          <c:h val="0.4719721439093990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gradFill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  <c:txPr>
              <a:bodyPr rot="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Расходы на оплату труда</c:v>
                </c:pt>
                <c:pt idx="1">
                  <c:v>Субсидии</c:v>
                </c:pt>
                <c:pt idx="2">
                  <c:v>Оплата коммунальных услуг</c:v>
                </c:pt>
                <c:pt idx="3">
                  <c:v>Лекарственные средства и продукты питания</c:v>
                </c:pt>
                <c:pt idx="4">
                  <c:v>Оплата текущего содержания объектов благоустройств</c:v>
                </c:pt>
                <c:pt idx="5">
                  <c:v>Текущие и капитальные бюджетные трансферты населению</c:v>
                </c:pt>
                <c:pt idx="6">
                  <c:v>Другие расходы</c:v>
                </c:pt>
                <c:pt idx="7">
                  <c:v>Капитальные вложения в основные фонды</c:v>
                </c:pt>
                <c:pt idx="8">
                  <c:v>Прочие текущие расходы</c:v>
                </c:pt>
                <c:pt idx="9">
                  <c:v>Оплата текущего ремонта оборудования и зданий, помещений</c:v>
                </c:pt>
                <c:pt idx="10">
                  <c:v>Обслуживание государственного долга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95719.3</c:v>
                </c:pt>
                <c:pt idx="1">
                  <c:v>28849.5</c:v>
                </c:pt>
                <c:pt idx="2">
                  <c:v>11390.4</c:v>
                </c:pt>
                <c:pt idx="3">
                  <c:v>9562.7000000000007</c:v>
                </c:pt>
                <c:pt idx="4">
                  <c:v>5585.9</c:v>
                </c:pt>
                <c:pt idx="5">
                  <c:v>5424.1</c:v>
                </c:pt>
                <c:pt idx="6">
                  <c:v>4055.2</c:v>
                </c:pt>
                <c:pt idx="7">
                  <c:v>3713.2</c:v>
                </c:pt>
                <c:pt idx="8">
                  <c:v>2890.6</c:v>
                </c:pt>
                <c:pt idx="9">
                  <c:v>902</c:v>
                </c:pt>
                <c:pt idx="10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A5-48D4-BA1D-5BD94E2587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cylinder"/>
        <c:axId val="543753536"/>
        <c:axId val="540365760"/>
        <c:axId val="0"/>
      </c:bar3DChart>
      <c:catAx>
        <c:axId val="54375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ln>
                  <a:solidFill>
                    <a:schemeClr val="accent1"/>
                  </a:solidFill>
                </a:ln>
                <a:solidFill>
                  <a:schemeClr val="accent1">
                    <a:lumMod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40365760"/>
        <c:crosses val="autoZero"/>
        <c:auto val="1"/>
        <c:lblAlgn val="ctr"/>
        <c:lblOffset val="100"/>
        <c:noMultiLvlLbl val="0"/>
      </c:catAx>
      <c:valAx>
        <c:axId val="5403657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54375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1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60 942,4 тысячи рублей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39700" h="139700" prst="divot"/>
              <a:bevelB prst="angle"/>
            </a:sp3d>
          </c:spPr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1-2389-4896-B8BA-4E7BE29DD6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4-2389-4896-B8BA-4E7BE29DD6F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3-2389-4896-B8BA-4E7BE29DD6F8}"/>
              </c:ext>
            </c:extLst>
          </c:dPt>
          <c:dPt>
            <c:idx val="3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39700" h="139700" prst="divo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2-2389-4896-B8BA-4E7BE29DD6F8}"/>
              </c:ext>
            </c:extLst>
          </c:dPt>
          <c:dLbls>
            <c:dLbl>
              <c:idx val="0"/>
              <c:layout>
                <c:manualLayout>
                  <c:x val="1.6203703703703703E-2"/>
                  <c:y val="-5.9523809523809521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89-4896-B8BA-4E7BE29DD6F8}"/>
                </c:ext>
              </c:extLst>
            </c:dLbl>
            <c:dLbl>
              <c:idx val="1"/>
              <c:layout>
                <c:manualLayout>
                  <c:x val="2.3148148148148043E-3"/>
                  <c:y val="4.3650793650793648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89-4896-B8BA-4E7BE29DD6F8}"/>
                </c:ext>
              </c:extLst>
            </c:dLbl>
            <c:dLbl>
              <c:idx val="2"/>
              <c:layout>
                <c:manualLayout>
                  <c:x val="1.3888888888888888E-2"/>
                  <c:y val="-2.7777777777777797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89-4896-B8BA-4E7BE29DD6F8}"/>
                </c:ext>
              </c:extLst>
            </c:dLbl>
            <c:dLbl>
              <c:idx val="3"/>
              <c:layout>
                <c:manualLayout>
                  <c:x val="4.3981481481481483E-2"/>
                  <c:y val="-2.3809523809523829E-2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89-4896-B8BA-4E7BE29DD6F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Дошкольное образование</c:v>
                </c:pt>
                <c:pt idx="1">
                  <c:v>Общее среднее образование</c:v>
                </c:pt>
                <c:pt idx="2">
                  <c:v>дополнительное образование детей и молодежи</c:v>
                </c:pt>
                <c:pt idx="3">
                  <c:v>Другие вопросы в области образования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17615.900000000001</c:v>
                </c:pt>
                <c:pt idx="1">
                  <c:v>37594.400000000001</c:v>
                </c:pt>
                <c:pt idx="2">
                  <c:v>4709</c:v>
                </c:pt>
                <c:pt idx="3">
                  <c:v>1023.1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9-4896-B8BA-4E7BE29DD6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Лист1!$A$2:$A$7</cx:f>
        <cx:lvl ptCount="6">
          <cx:pt idx="0">Образование</cx:pt>
          <cx:pt idx="1">Здравоохранение</cx:pt>
          <cx:pt idx="2">Социальная политика</cx:pt>
          <cx:pt idx="3">Культура</cx:pt>
          <cx:pt idx="4">Физическая культура и спорт</cx:pt>
        </cx:lvl>
      </cx:strDim>
      <cx:numDim type="val">
        <cx:f>Лист1!$B$2:$B$7</cx:f>
        <cx:lvl ptCount="6" formatCode="# ##0,0">
          <cx:pt idx="0">60942.400000000001</cx:pt>
          <cx:pt idx="1">42931.300000000003</cx:pt>
          <cx:pt idx="2">6162</cx:pt>
          <cx:pt idx="3">4067.5999999999999</cx:pt>
          <cx:pt idx="4">3781.5999999999999</cx:pt>
        </cx:lvl>
      </cx:numDim>
    </cx:data>
  </cx:chartData>
  <cx:chart>
    <cx:title pos="t" align="ctr" overlay="0">
      <cx:tx>
        <cx:txData>
          <cx:v>ВСЕГО РАСХОДОВ: 117 884,9 тысячи рублей 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defRPr>
          </a:pPr>
          <a:r>
            <a:rPr lang="ru-RU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РАСХОДОВ: 117 884,9 тысячи рублей </a:t>
          </a:r>
        </a:p>
      </cx:txPr>
    </cx:title>
    <cx:plotArea>
      <cx:plotAreaRegion>
        <cx:plotSurface>
          <cx:spPr>
            <a:effectLst/>
          </cx:spPr>
        </cx:plotSurface>
        <cx:series layoutId="waterfall" uniqueId="{7A4DC127-806B-4C2B-BAC9-311850EEA9EE}">
          <cx:tx>
            <cx:txData>
              <cx:f>Лист1!$B$1</cx:f>
              <cx:v>Ряд 1</cx:v>
            </cx:txData>
          </cx:tx>
          <cx:spPr>
            <a:effectLst/>
          </cx:spPr>
          <cx:dataLabels pos="outEnd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400">
                    <a:latin typeface="Times New Roman" panose="02020603050405020304" pitchFamily="18" charset="0"/>
                    <a:ea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1400" b="0" i="0" u="none" strike="noStrike" baseline="0">
                  <a:solidFill>
                    <a:srgbClr val="000000">
                      <a:lumMod val="65000"/>
                      <a:lumOff val="35000"/>
                    </a:srgbClr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x:txPr>
            <cx:visibility seriesName="0" categoryName="0" value="1"/>
          </cx:dataLabels>
          <cx:dataId val="0"/>
          <cx:layoutPr>
            <cx:visibility connectorLines="0"/>
            <cx:subtotals>
              <cx:idx val="0"/>
            </cx:subtotals>
          </cx:layoutPr>
        </cx:series>
      </cx:plotAreaRegion>
      <cx:axis id="0">
        <cx:catScaling gapWidth="0.25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10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000" b="0" i="0" u="none" strike="noStrike" baseline="0">
              <a:solidFill>
                <a:srgbClr val="000000">
                  <a:lumMod val="65000"/>
                  <a:lumOff val="35000"/>
                </a:srgb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x:txPr>
      </cx:axis>
      <cx:axis id="1" hidden="1">
        <cx:valScaling/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97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09BE53-40C8-420C-B441-456C8F3A167F}" type="doc">
      <dgm:prSet loTypeId="urn:microsoft.com/office/officeart/2009/3/layout/HorizontalOrganizationChart" loCatId="hierarchy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BA3A800-34B4-45C7-85E7-63418519B144}">
      <dgm:prSet phldrT="[Текст]" custT="1"/>
      <dgm:spPr>
        <a:solidFill>
          <a:srgbClr val="92D050"/>
        </a:solidFill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/>
        </a:sp3d>
      </dgm:spPr>
      <dgm:t>
        <a:bodyPr/>
        <a:lstStyle/>
        <a:p>
          <a:r>
            <a:rPr lang="ru-RU" sz="1400" b="1">
              <a:solidFill>
                <a:schemeClr val="tx2">
                  <a:lumMod val="50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Бюджеты 9 сельских Советов</a:t>
          </a:r>
        </a:p>
        <a:p>
          <a:r>
            <a:rPr lang="ru-RU" sz="1400" b="1">
              <a:solidFill>
                <a:schemeClr val="tx2">
                  <a:lumMod val="50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6D7C9DB5-F255-4DCE-9791-E1CE5CD08329}" type="parTrans" cxnId="{FFF6E000-539D-4242-9A0D-54D025E5FC02}">
      <dgm:prSet/>
      <dgm:spPr/>
      <dgm:t>
        <a:bodyPr/>
        <a:lstStyle/>
        <a:p>
          <a:endParaRPr lang="ru-RU"/>
        </a:p>
      </dgm:t>
    </dgm:pt>
    <dgm:pt modelId="{B273C718-65ED-44AF-809D-54BC291AA6F8}" type="sibTrans" cxnId="{FFF6E000-539D-4242-9A0D-54D025E5FC02}">
      <dgm:prSet/>
      <dgm:spPr/>
      <dgm:t>
        <a:bodyPr/>
        <a:lstStyle/>
        <a:p>
          <a:endParaRPr lang="ru-RU"/>
        </a:p>
      </dgm:t>
    </dgm:pt>
    <dgm:pt modelId="{29D38D0F-F8A8-4CF6-97BC-452E94E4210F}">
      <dgm:prSet phldrT="[Текст]"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Деревянчицкий</a:t>
          </a:r>
        </a:p>
      </dgm:t>
    </dgm:pt>
    <dgm:pt modelId="{A0C9FDAA-5F2C-4E8F-AC4D-97E5E92B6713}" type="parTrans" cxnId="{0014E212-00B3-46AF-9803-065751553BA0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1BDA54EC-9579-470E-93D8-433F35BBE59A}" type="sibTrans" cxnId="{0014E212-00B3-46AF-9803-065751553BA0}">
      <dgm:prSet/>
      <dgm:spPr/>
      <dgm:t>
        <a:bodyPr/>
        <a:lstStyle/>
        <a:p>
          <a:endParaRPr lang="ru-RU"/>
        </a:p>
      </dgm:t>
    </dgm:pt>
    <dgm:pt modelId="{20E09E53-9B3E-4CA7-BDB0-744CDBF8FF66}">
      <dgm:prSet phldrT="[Текст]"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Сеньковщинский</a:t>
          </a:r>
        </a:p>
      </dgm:t>
    </dgm:pt>
    <dgm:pt modelId="{43D37106-25D1-40DC-ADE0-69D492831A0F}" type="parTrans" cxnId="{A0C665B6-1366-4116-9577-FEFCDEC76F69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EB955470-B729-49E6-B281-D9E4236BAE05}" type="sibTrans" cxnId="{A0C665B6-1366-4116-9577-FEFCDEC76F69}">
      <dgm:prSet/>
      <dgm:spPr/>
      <dgm:t>
        <a:bodyPr/>
        <a:lstStyle/>
        <a:p>
          <a:endParaRPr lang="ru-RU"/>
        </a:p>
      </dgm:t>
    </dgm:pt>
    <dgm:pt modelId="{22280ED6-24F6-4F6E-9775-720BD1B2B1DC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Павловский</a:t>
          </a:r>
        </a:p>
      </dgm:t>
    </dgm:pt>
    <dgm:pt modelId="{156EF41F-B1B3-477D-A24F-38D6DF457D98}" type="parTrans" cxnId="{C9861F7D-7325-4D1E-97BB-480F44CEA6D7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F15353C1-E4A7-42DF-B06D-2EB9134ED266}" type="sibTrans" cxnId="{C9861F7D-7325-4D1E-97BB-480F44CEA6D7}">
      <dgm:prSet/>
      <dgm:spPr/>
      <dgm:t>
        <a:bodyPr/>
        <a:lstStyle/>
        <a:p>
          <a:endParaRPr lang="ru-RU"/>
        </a:p>
      </dgm:t>
    </dgm:pt>
    <dgm:pt modelId="{33DB8403-8417-4AA8-9ADE-57DE15C9403C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Жировичский</a:t>
          </a:r>
        </a:p>
      </dgm:t>
    </dgm:pt>
    <dgm:pt modelId="{8C2130E4-5B82-44EC-B85C-AA4DAFC22F31}" type="parTrans" cxnId="{50889F0F-4460-47AF-98DE-1E400DC95E6A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45EF8386-CE9B-41E3-B60C-BB07A19FFCEC}" type="sibTrans" cxnId="{50889F0F-4460-47AF-98DE-1E400DC95E6A}">
      <dgm:prSet/>
      <dgm:spPr/>
      <dgm:t>
        <a:bodyPr/>
        <a:lstStyle/>
        <a:p>
          <a:endParaRPr lang="ru-RU"/>
        </a:p>
      </dgm:t>
    </dgm:pt>
    <dgm:pt modelId="{4F3CB3E6-EEC6-4B87-9E44-2AE35CE661CC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Озерницкий</a:t>
          </a:r>
        </a:p>
      </dgm:t>
    </dgm:pt>
    <dgm:pt modelId="{AF6867C2-1C55-468B-A4DB-369989C8FBEC}" type="parTrans" cxnId="{A1FF5BF7-457F-4667-A3DB-37FA31BF0266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0A22354A-C050-44D2-9ACC-DDD10C4F6B31}" type="sibTrans" cxnId="{A1FF5BF7-457F-4667-A3DB-37FA31BF0266}">
      <dgm:prSet/>
      <dgm:spPr/>
      <dgm:t>
        <a:bodyPr/>
        <a:lstStyle/>
        <a:p>
          <a:endParaRPr lang="ru-RU"/>
        </a:p>
      </dgm:t>
    </dgm:pt>
    <dgm:pt modelId="{F5EB20E8-75E7-47A0-98BD-4E72DB43D7F7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Мижевичский</a:t>
          </a:r>
        </a:p>
      </dgm:t>
    </dgm:pt>
    <dgm:pt modelId="{1BACA5F7-3CD3-4F0B-B2CD-154AB654EE68}" type="parTrans" cxnId="{BBE67294-220D-4579-BF9C-A3559E7CFA4E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6FF3766E-B30C-45E2-BF64-BC8A586F3E90}" type="sibTrans" cxnId="{BBE67294-220D-4579-BF9C-A3559E7CFA4E}">
      <dgm:prSet/>
      <dgm:spPr/>
      <dgm:t>
        <a:bodyPr/>
        <a:lstStyle/>
        <a:p>
          <a:endParaRPr lang="ru-RU"/>
        </a:p>
      </dgm:t>
    </dgm:pt>
    <dgm:pt modelId="{B39ECE99-2368-4FD7-80DD-2F1A34BF174C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Озгиновичский</a:t>
          </a:r>
        </a:p>
      </dgm:t>
    </dgm:pt>
    <dgm:pt modelId="{2DB6AB93-6AE8-490C-807B-05DFE96B56F7}" type="parTrans" cxnId="{E2933912-C765-41D5-BD84-A8EC7FEBC83A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3619DD19-C2A2-45DA-A8E2-77D22D2FFFC4}" type="sibTrans" cxnId="{E2933912-C765-41D5-BD84-A8EC7FEBC83A}">
      <dgm:prSet/>
      <dgm:spPr/>
      <dgm:t>
        <a:bodyPr/>
        <a:lstStyle/>
        <a:p>
          <a:endParaRPr lang="ru-RU"/>
        </a:p>
      </dgm:t>
    </dgm:pt>
    <dgm:pt modelId="{272E44D1-F024-4085-AF03-6F41A0C19869}">
      <dgm:prSet custT="1"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сельсоветов:</a:t>
          </a:r>
        </a:p>
      </dgm:t>
    </dgm:pt>
    <dgm:pt modelId="{7C641F35-DD80-4919-917B-2762963AE600}" type="parTrans" cxnId="{91016928-0340-466B-8D82-6ABEEBEA2E34}">
      <dgm:prSet/>
      <dgm:spPr>
        <a:solidFill>
          <a:srgbClr val="92D050"/>
        </a:solidFill>
        <a:ln>
          <a:solidFill>
            <a:srgbClr val="92D050"/>
          </a:solidFill>
        </a:ln>
      </dgm:spPr>
      <dgm:t>
        <a:bodyPr/>
        <a:lstStyle/>
        <a:p>
          <a:endParaRPr lang="ru-RU" b="1">
            <a:ln>
              <a:solidFill>
                <a:schemeClr val="lt1">
                  <a:hueOff val="0"/>
                  <a:satOff val="0"/>
                  <a:lumOff val="0"/>
                </a:schemeClr>
              </a:solidFill>
            </a:ln>
            <a:solidFill>
              <a:srgbClr val="92D050"/>
            </a:solidFill>
          </a:endParaRPr>
        </a:p>
      </dgm:t>
    </dgm:pt>
    <dgm:pt modelId="{BA603411-EADF-4A31-B684-6DE2B3F0AAA5}" type="sibTrans" cxnId="{91016928-0340-466B-8D82-6ABEEBEA2E34}">
      <dgm:prSet/>
      <dgm:spPr/>
      <dgm:t>
        <a:bodyPr/>
        <a:lstStyle/>
        <a:p>
          <a:endParaRPr lang="ru-RU"/>
        </a:p>
      </dgm:t>
    </dgm:pt>
    <dgm:pt modelId="{AE9CBAA0-BDEB-4A3E-86C8-0F7CDF8E153E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Новодевятковичский</a:t>
          </a:r>
        </a:p>
      </dgm:t>
    </dgm:pt>
    <dgm:pt modelId="{7E0526B2-6143-409D-99A4-6C0FCDA15695}" type="parTrans" cxnId="{D9760D57-3DC6-4F99-9CCD-3CD30A8D6F1A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E86D637D-D01B-4D89-B4F1-4146001D21C0}" type="sibTrans" cxnId="{D9760D57-3DC6-4F99-9CCD-3CD30A8D6F1A}">
      <dgm:prSet/>
      <dgm:spPr/>
      <dgm:t>
        <a:bodyPr/>
        <a:lstStyle/>
        <a:p>
          <a:endParaRPr lang="ru-RU"/>
        </a:p>
      </dgm:t>
    </dgm:pt>
    <dgm:pt modelId="{AF5FD8C2-0BDE-4DF6-BF9A-D7082778F869}">
      <dgm:prSet custT="1"/>
      <dgm:spPr>
        <a:solidFill>
          <a:srgbClr val="92D050"/>
        </a:solidFill>
      </dgm:spPr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Районный бюджет</a:t>
          </a:r>
        </a:p>
      </dgm:t>
    </dgm:pt>
    <dgm:pt modelId="{027F8FA7-D923-4D5C-B365-0407FC6303D6}" type="parTrans" cxnId="{EF47AA50-2C73-41AC-84BE-6059FC951646}">
      <dgm:prSet/>
      <dgm:spPr/>
      <dgm:t>
        <a:bodyPr/>
        <a:lstStyle/>
        <a:p>
          <a:endParaRPr lang="ru-RU"/>
        </a:p>
      </dgm:t>
    </dgm:pt>
    <dgm:pt modelId="{1926FE0A-6FDA-44D6-8E3B-DD0689B4F7C9}" type="sibTrans" cxnId="{EF47AA50-2C73-41AC-84BE-6059FC951646}">
      <dgm:prSet/>
      <dgm:spPr/>
      <dgm:t>
        <a:bodyPr/>
        <a:lstStyle/>
        <a:p>
          <a:endParaRPr lang="ru-RU"/>
        </a:p>
      </dgm:t>
    </dgm:pt>
    <dgm:pt modelId="{22EDAD02-FE2C-4D81-9821-AC91B6B90FDF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Слонимского района</a:t>
          </a:r>
        </a:p>
      </dgm:t>
    </dgm:pt>
    <dgm:pt modelId="{B578D59D-A5C5-4E5B-953E-92FB5E54AB61}" type="parTrans" cxnId="{BDE3476A-B99C-45F1-BD26-C0E7523A7B5B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DF111BEC-23E4-41CC-96E8-04189FA11E02}" type="sibTrans" cxnId="{BDE3476A-B99C-45F1-BD26-C0E7523A7B5B}">
      <dgm:prSet/>
      <dgm:spPr/>
      <dgm:t>
        <a:bodyPr/>
        <a:lstStyle/>
        <a:p>
          <a:endParaRPr lang="ru-RU"/>
        </a:p>
      </dgm:t>
    </dgm:pt>
    <dgm:pt modelId="{A75DE815-ED94-40D4-BB12-EE4D7CECB740}">
      <dgm:prSet custT="1"/>
      <dgm:spPr/>
      <dgm:t>
        <a:bodyPr/>
        <a:lstStyle/>
        <a:p>
          <a:r>
            <a:rPr lang="ru-RU" sz="12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Деревновский</a:t>
          </a:r>
        </a:p>
      </dgm:t>
    </dgm:pt>
    <dgm:pt modelId="{62AD13A7-A1AD-45A3-A4F3-802603FBA6E1}" type="sibTrans" cxnId="{A99D8AFA-7D78-4D13-B1E3-8247C9D298CB}">
      <dgm:prSet/>
      <dgm:spPr/>
      <dgm:t>
        <a:bodyPr/>
        <a:lstStyle/>
        <a:p>
          <a:endParaRPr lang="ru-RU"/>
        </a:p>
      </dgm:t>
    </dgm:pt>
    <dgm:pt modelId="{C1C761E7-42D9-4C39-813C-B470FB6F59C4}" type="parTrans" cxnId="{A99D8AFA-7D78-4D13-B1E3-8247C9D298CB}">
      <dgm:prSet/>
      <dgm:spPr/>
      <dgm:t>
        <a:bodyPr/>
        <a:lstStyle/>
        <a:p>
          <a:endParaRPr lang="ru-RU" b="1">
            <a:solidFill>
              <a:schemeClr val="tx2">
                <a:lumMod val="50000"/>
              </a:schemeClr>
            </a:solidFill>
          </a:endParaRPr>
        </a:p>
      </dgm:t>
    </dgm:pt>
    <dgm:pt modelId="{7F52D385-CE88-444E-8E28-B72505011830}" type="pres">
      <dgm:prSet presAssocID="{6C09BE53-40C8-420C-B441-456C8F3A16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814C8CD-3750-43D4-89D8-760121D83321}" type="pres">
      <dgm:prSet presAssocID="{AF5FD8C2-0BDE-4DF6-BF9A-D7082778F869}" presName="hierRoot1" presStyleCnt="0">
        <dgm:presLayoutVars>
          <dgm:hierBranch val="init"/>
        </dgm:presLayoutVars>
      </dgm:prSet>
      <dgm:spPr/>
    </dgm:pt>
    <dgm:pt modelId="{507F5D82-1257-4A0A-86F1-CEBAA236D5BC}" type="pres">
      <dgm:prSet presAssocID="{AF5FD8C2-0BDE-4DF6-BF9A-D7082778F869}" presName="rootComposite1" presStyleCnt="0"/>
      <dgm:spPr/>
    </dgm:pt>
    <dgm:pt modelId="{E57EFDC0-152E-40FF-ABBE-A42EC1D8A721}" type="pres">
      <dgm:prSet presAssocID="{AF5FD8C2-0BDE-4DF6-BF9A-D7082778F869}" presName="rootText1" presStyleLbl="node0" presStyleIdx="0" presStyleCnt="2" custScaleY="97348" custLinFactNeighborX="36287" custLinFactNeighborY="1392">
        <dgm:presLayoutVars>
          <dgm:chPref val="3"/>
        </dgm:presLayoutVars>
      </dgm:prSet>
      <dgm:spPr>
        <a:prstGeom prst="round2SameRect">
          <a:avLst/>
        </a:prstGeom>
      </dgm:spPr>
    </dgm:pt>
    <dgm:pt modelId="{A638DD4D-D242-431C-B8AF-E6678474700F}" type="pres">
      <dgm:prSet presAssocID="{AF5FD8C2-0BDE-4DF6-BF9A-D7082778F869}" presName="rootConnector1" presStyleLbl="node1" presStyleIdx="0" presStyleCnt="0"/>
      <dgm:spPr/>
    </dgm:pt>
    <dgm:pt modelId="{7A0B267F-D031-4E57-B1E9-F475BC647BE8}" type="pres">
      <dgm:prSet presAssocID="{AF5FD8C2-0BDE-4DF6-BF9A-D7082778F869}" presName="hierChild2" presStyleCnt="0"/>
      <dgm:spPr/>
    </dgm:pt>
    <dgm:pt modelId="{0D1ACF5B-8519-4529-811B-222ABBF3DD55}" type="pres">
      <dgm:prSet presAssocID="{B578D59D-A5C5-4E5B-953E-92FB5E54AB61}" presName="Name64" presStyleLbl="parChTrans1D2" presStyleIdx="0" presStyleCnt="10"/>
      <dgm:spPr/>
    </dgm:pt>
    <dgm:pt modelId="{168F1D6E-D716-4764-9C26-76E4783636B1}" type="pres">
      <dgm:prSet presAssocID="{22EDAD02-FE2C-4D81-9821-AC91B6B90FDF}" presName="hierRoot2" presStyleCnt="0">
        <dgm:presLayoutVars>
          <dgm:hierBranch val="init"/>
        </dgm:presLayoutVars>
      </dgm:prSet>
      <dgm:spPr/>
    </dgm:pt>
    <dgm:pt modelId="{FD0ADAA7-057D-4670-AC7C-F9C67F4FDAED}" type="pres">
      <dgm:prSet presAssocID="{22EDAD02-FE2C-4D81-9821-AC91B6B90FDF}" presName="rootComposite" presStyleCnt="0"/>
      <dgm:spPr/>
    </dgm:pt>
    <dgm:pt modelId="{92609045-58A5-47E3-BC0E-350701D5273A}" type="pres">
      <dgm:prSet presAssocID="{22EDAD02-FE2C-4D81-9821-AC91B6B90FDF}" presName="rootText" presStyleLbl="node2" presStyleIdx="0" presStyleCnt="10" custScaleX="146301" custScaleY="93869" custLinFactNeighborX="12449" custLinFactNeighborY="-97960">
        <dgm:presLayoutVars>
          <dgm:chPref val="3"/>
        </dgm:presLayoutVars>
      </dgm:prSet>
      <dgm:spPr>
        <a:prstGeom prst="snip2SameRect">
          <a:avLst/>
        </a:prstGeom>
      </dgm:spPr>
    </dgm:pt>
    <dgm:pt modelId="{CEF96935-0326-45D5-8816-1FD3AED43690}" type="pres">
      <dgm:prSet presAssocID="{22EDAD02-FE2C-4D81-9821-AC91B6B90FDF}" presName="rootConnector" presStyleLbl="node2" presStyleIdx="0" presStyleCnt="10"/>
      <dgm:spPr/>
    </dgm:pt>
    <dgm:pt modelId="{C862F1D8-DD02-428F-AFF7-99D18BD10AA0}" type="pres">
      <dgm:prSet presAssocID="{22EDAD02-FE2C-4D81-9821-AC91B6B90FDF}" presName="hierChild4" presStyleCnt="0"/>
      <dgm:spPr/>
    </dgm:pt>
    <dgm:pt modelId="{D6C35AEA-65DD-43C2-845D-506E13621A99}" type="pres">
      <dgm:prSet presAssocID="{22EDAD02-FE2C-4D81-9821-AC91B6B90FDF}" presName="hierChild5" presStyleCnt="0"/>
      <dgm:spPr/>
    </dgm:pt>
    <dgm:pt modelId="{B0C96286-F565-4A46-A1C8-D54A9EEF84A7}" type="pres">
      <dgm:prSet presAssocID="{AF5FD8C2-0BDE-4DF6-BF9A-D7082778F869}" presName="hierChild3" presStyleCnt="0"/>
      <dgm:spPr/>
    </dgm:pt>
    <dgm:pt modelId="{C3267168-1194-4ABB-BC8D-36674E2AAC52}" type="pres">
      <dgm:prSet presAssocID="{8BA3A800-34B4-45C7-85E7-63418519B144}" presName="hierRoot1" presStyleCnt="0">
        <dgm:presLayoutVars>
          <dgm:hierBranch val="init"/>
        </dgm:presLayoutVars>
      </dgm:prSet>
      <dgm:spPr/>
    </dgm:pt>
    <dgm:pt modelId="{90DC8976-CB34-479A-840A-D37E0063A166}" type="pres">
      <dgm:prSet presAssocID="{8BA3A800-34B4-45C7-85E7-63418519B144}" presName="rootComposite1" presStyleCnt="0"/>
      <dgm:spPr/>
    </dgm:pt>
    <dgm:pt modelId="{13FDD2AA-EA01-4EA8-AA6D-A4288806A87F}" type="pres">
      <dgm:prSet presAssocID="{8BA3A800-34B4-45C7-85E7-63418519B144}" presName="rootText1" presStyleLbl="node0" presStyleIdx="1" presStyleCnt="2" custScaleX="118948" custScaleY="202041">
        <dgm:presLayoutVars>
          <dgm:chPref val="3"/>
        </dgm:presLayoutVars>
      </dgm:prSet>
      <dgm:spPr>
        <a:prstGeom prst="round2DiagRect">
          <a:avLst/>
        </a:prstGeom>
      </dgm:spPr>
    </dgm:pt>
    <dgm:pt modelId="{E0D76BE6-E509-4CAB-B585-ADAC0FAD2AEF}" type="pres">
      <dgm:prSet presAssocID="{8BA3A800-34B4-45C7-85E7-63418519B144}" presName="rootConnector1" presStyleLbl="node1" presStyleIdx="0" presStyleCnt="0"/>
      <dgm:spPr/>
    </dgm:pt>
    <dgm:pt modelId="{72B0C721-DDCF-4AB8-BBE5-D37857700BA8}" type="pres">
      <dgm:prSet presAssocID="{8BA3A800-34B4-45C7-85E7-63418519B144}" presName="hierChild2" presStyleCnt="0"/>
      <dgm:spPr/>
    </dgm:pt>
    <dgm:pt modelId="{5273E72F-AE0B-4BC3-923F-5ADDCAEA398D}" type="pres">
      <dgm:prSet presAssocID="{C1C761E7-42D9-4C39-813C-B470FB6F59C4}" presName="Name64" presStyleLbl="parChTrans1D2" presStyleIdx="1" presStyleCnt="10"/>
      <dgm:spPr/>
    </dgm:pt>
    <dgm:pt modelId="{7DF6905C-7A36-4328-9E80-B6AEEA1FCA40}" type="pres">
      <dgm:prSet presAssocID="{A75DE815-ED94-40D4-BB12-EE4D7CECB740}" presName="hierRoot2" presStyleCnt="0">
        <dgm:presLayoutVars>
          <dgm:hierBranch val="init"/>
        </dgm:presLayoutVars>
      </dgm:prSet>
      <dgm:spPr/>
    </dgm:pt>
    <dgm:pt modelId="{BA92BC48-2EC4-47D8-A8F9-7F9DABDEFF6A}" type="pres">
      <dgm:prSet presAssocID="{A75DE815-ED94-40D4-BB12-EE4D7CECB740}" presName="rootComposite" presStyleCnt="0"/>
      <dgm:spPr/>
    </dgm:pt>
    <dgm:pt modelId="{266D8037-241A-4FFB-A2B6-3E4CAAC3A054}" type="pres">
      <dgm:prSet presAssocID="{A75DE815-ED94-40D4-BB12-EE4D7CECB740}" presName="rootText" presStyleLbl="node2" presStyleIdx="1" presStyleCnt="10">
        <dgm:presLayoutVars>
          <dgm:chPref val="3"/>
        </dgm:presLayoutVars>
      </dgm:prSet>
      <dgm:spPr/>
    </dgm:pt>
    <dgm:pt modelId="{DF87597B-93D7-4AB8-A07F-A28AA3E3DAA5}" type="pres">
      <dgm:prSet presAssocID="{A75DE815-ED94-40D4-BB12-EE4D7CECB740}" presName="rootConnector" presStyleLbl="node2" presStyleIdx="1" presStyleCnt="10"/>
      <dgm:spPr/>
    </dgm:pt>
    <dgm:pt modelId="{31A37A01-1A21-48B7-AC32-6EB448E5A037}" type="pres">
      <dgm:prSet presAssocID="{A75DE815-ED94-40D4-BB12-EE4D7CECB740}" presName="hierChild4" presStyleCnt="0"/>
      <dgm:spPr/>
    </dgm:pt>
    <dgm:pt modelId="{65725BEE-3B47-47FC-A11F-1A6B91DA51FE}" type="pres">
      <dgm:prSet presAssocID="{7C641F35-DD80-4919-917B-2762963AE600}" presName="Name64" presStyleLbl="parChTrans1D3" presStyleIdx="0" presStyleCnt="1"/>
      <dgm:spPr/>
    </dgm:pt>
    <dgm:pt modelId="{7BE72103-AF6B-49B8-BC54-49404B37A3BF}" type="pres">
      <dgm:prSet presAssocID="{272E44D1-F024-4085-AF03-6F41A0C19869}" presName="hierRoot2" presStyleCnt="0">
        <dgm:presLayoutVars>
          <dgm:hierBranch/>
        </dgm:presLayoutVars>
      </dgm:prSet>
      <dgm:spPr/>
    </dgm:pt>
    <dgm:pt modelId="{EB14B5C4-8B80-4A37-B8EC-6ED7ACFD2456}" type="pres">
      <dgm:prSet presAssocID="{272E44D1-F024-4085-AF03-6F41A0C19869}" presName="rootComposite" presStyleCnt="0"/>
      <dgm:spPr/>
    </dgm:pt>
    <dgm:pt modelId="{F74A6AF8-3341-4897-AF66-8AFD7DEBDA10}" type="pres">
      <dgm:prSet presAssocID="{272E44D1-F024-4085-AF03-6F41A0C19869}" presName="rootText" presStyleLbl="node3" presStyleIdx="0" presStyleCnt="1" custLinFactY="-37813" custLinFactNeighborX="2196" custLinFactNeighborY="-100000">
        <dgm:presLayoutVars>
          <dgm:chPref val="3"/>
        </dgm:presLayoutVars>
      </dgm:prSet>
      <dgm:spPr>
        <a:prstGeom prst="round2SameRect">
          <a:avLst/>
        </a:prstGeom>
      </dgm:spPr>
    </dgm:pt>
    <dgm:pt modelId="{78840FAB-1B09-4886-A6F6-EC04854AB237}" type="pres">
      <dgm:prSet presAssocID="{272E44D1-F024-4085-AF03-6F41A0C19869}" presName="rootConnector" presStyleLbl="node3" presStyleIdx="0" presStyleCnt="1"/>
      <dgm:spPr/>
    </dgm:pt>
    <dgm:pt modelId="{62595D3C-641F-4C65-A954-E5AEE78838CF}" type="pres">
      <dgm:prSet presAssocID="{272E44D1-F024-4085-AF03-6F41A0C19869}" presName="hierChild4" presStyleCnt="0"/>
      <dgm:spPr/>
    </dgm:pt>
    <dgm:pt modelId="{ACDA8AE4-89C9-44C1-A84A-0FD16B9531A1}" type="pres">
      <dgm:prSet presAssocID="{272E44D1-F024-4085-AF03-6F41A0C19869}" presName="hierChild5" presStyleCnt="0"/>
      <dgm:spPr/>
    </dgm:pt>
    <dgm:pt modelId="{F8B72FF0-3C68-4924-A925-DE9C1B714362}" type="pres">
      <dgm:prSet presAssocID="{A75DE815-ED94-40D4-BB12-EE4D7CECB740}" presName="hierChild5" presStyleCnt="0"/>
      <dgm:spPr/>
    </dgm:pt>
    <dgm:pt modelId="{73C2F568-19A0-461B-BFE1-C294CF01DD7F}" type="pres">
      <dgm:prSet presAssocID="{A0C9FDAA-5F2C-4E8F-AC4D-97E5E92B6713}" presName="Name64" presStyleLbl="parChTrans1D2" presStyleIdx="2" presStyleCnt="10"/>
      <dgm:spPr/>
    </dgm:pt>
    <dgm:pt modelId="{F0ED21F3-9031-4A6B-9DB6-EEDE4F5000C5}" type="pres">
      <dgm:prSet presAssocID="{29D38D0F-F8A8-4CF6-97BC-452E94E4210F}" presName="hierRoot2" presStyleCnt="0">
        <dgm:presLayoutVars>
          <dgm:hierBranch val="init"/>
        </dgm:presLayoutVars>
      </dgm:prSet>
      <dgm:spPr/>
    </dgm:pt>
    <dgm:pt modelId="{98699DED-72F2-4520-8AC7-DC8DBEFDE12B}" type="pres">
      <dgm:prSet presAssocID="{29D38D0F-F8A8-4CF6-97BC-452E94E4210F}" presName="rootComposite" presStyleCnt="0"/>
      <dgm:spPr/>
    </dgm:pt>
    <dgm:pt modelId="{E60A21DA-7AC4-4C2B-AC3C-C8009D4AF248}" type="pres">
      <dgm:prSet presAssocID="{29D38D0F-F8A8-4CF6-97BC-452E94E4210F}" presName="rootText" presStyleLbl="node2" presStyleIdx="2" presStyleCnt="10">
        <dgm:presLayoutVars>
          <dgm:chPref val="3"/>
        </dgm:presLayoutVars>
      </dgm:prSet>
      <dgm:spPr/>
    </dgm:pt>
    <dgm:pt modelId="{C22C71A2-C1FC-4833-B3C5-AA8CDE27A42D}" type="pres">
      <dgm:prSet presAssocID="{29D38D0F-F8A8-4CF6-97BC-452E94E4210F}" presName="rootConnector" presStyleLbl="node2" presStyleIdx="2" presStyleCnt="10"/>
      <dgm:spPr/>
    </dgm:pt>
    <dgm:pt modelId="{A797B45E-CEFE-40AC-BABC-48828B0FB4AF}" type="pres">
      <dgm:prSet presAssocID="{29D38D0F-F8A8-4CF6-97BC-452E94E4210F}" presName="hierChild4" presStyleCnt="0"/>
      <dgm:spPr/>
    </dgm:pt>
    <dgm:pt modelId="{348BD3B1-1579-4C6D-8882-5A471C07D499}" type="pres">
      <dgm:prSet presAssocID="{29D38D0F-F8A8-4CF6-97BC-452E94E4210F}" presName="hierChild5" presStyleCnt="0"/>
      <dgm:spPr/>
    </dgm:pt>
    <dgm:pt modelId="{442BEAC1-0C47-4787-B1E1-FD05BCFDA826}" type="pres">
      <dgm:prSet presAssocID="{8C2130E4-5B82-44EC-B85C-AA4DAFC22F31}" presName="Name64" presStyleLbl="parChTrans1D2" presStyleIdx="3" presStyleCnt="10"/>
      <dgm:spPr/>
    </dgm:pt>
    <dgm:pt modelId="{4E594AE4-AE00-4597-B7D2-7080A8334FD1}" type="pres">
      <dgm:prSet presAssocID="{33DB8403-8417-4AA8-9ADE-57DE15C9403C}" presName="hierRoot2" presStyleCnt="0">
        <dgm:presLayoutVars>
          <dgm:hierBranch val="init"/>
        </dgm:presLayoutVars>
      </dgm:prSet>
      <dgm:spPr/>
    </dgm:pt>
    <dgm:pt modelId="{38BCECE6-A90D-4EDC-9B23-2593A5CC5AB1}" type="pres">
      <dgm:prSet presAssocID="{33DB8403-8417-4AA8-9ADE-57DE15C9403C}" presName="rootComposite" presStyleCnt="0"/>
      <dgm:spPr/>
    </dgm:pt>
    <dgm:pt modelId="{D29EB807-C044-4971-9204-BEEDC1F5675C}" type="pres">
      <dgm:prSet presAssocID="{33DB8403-8417-4AA8-9ADE-57DE15C9403C}" presName="rootText" presStyleLbl="node2" presStyleIdx="3" presStyleCnt="10">
        <dgm:presLayoutVars>
          <dgm:chPref val="3"/>
        </dgm:presLayoutVars>
      </dgm:prSet>
      <dgm:spPr/>
    </dgm:pt>
    <dgm:pt modelId="{111CA787-2CDC-4E00-9DF6-D76B22075FFF}" type="pres">
      <dgm:prSet presAssocID="{33DB8403-8417-4AA8-9ADE-57DE15C9403C}" presName="rootConnector" presStyleLbl="node2" presStyleIdx="3" presStyleCnt="10"/>
      <dgm:spPr/>
    </dgm:pt>
    <dgm:pt modelId="{12A9C4B7-A0CE-4F39-9820-66630D9B9AD4}" type="pres">
      <dgm:prSet presAssocID="{33DB8403-8417-4AA8-9ADE-57DE15C9403C}" presName="hierChild4" presStyleCnt="0"/>
      <dgm:spPr/>
    </dgm:pt>
    <dgm:pt modelId="{9FA5D213-3F71-4E64-98FE-AE1CFF683397}" type="pres">
      <dgm:prSet presAssocID="{33DB8403-8417-4AA8-9ADE-57DE15C9403C}" presName="hierChild5" presStyleCnt="0"/>
      <dgm:spPr/>
    </dgm:pt>
    <dgm:pt modelId="{81678FDE-40A3-47FD-8869-B89FF0A53D1F}" type="pres">
      <dgm:prSet presAssocID="{1BACA5F7-3CD3-4F0B-B2CD-154AB654EE68}" presName="Name64" presStyleLbl="parChTrans1D2" presStyleIdx="4" presStyleCnt="10"/>
      <dgm:spPr/>
    </dgm:pt>
    <dgm:pt modelId="{AC2B3A41-7D10-4187-8E6F-F7A327623C87}" type="pres">
      <dgm:prSet presAssocID="{F5EB20E8-75E7-47A0-98BD-4E72DB43D7F7}" presName="hierRoot2" presStyleCnt="0">
        <dgm:presLayoutVars>
          <dgm:hierBranch val="init"/>
        </dgm:presLayoutVars>
      </dgm:prSet>
      <dgm:spPr/>
    </dgm:pt>
    <dgm:pt modelId="{A18170E1-E5E0-4BA4-8C2F-CF0D9E8BDD45}" type="pres">
      <dgm:prSet presAssocID="{F5EB20E8-75E7-47A0-98BD-4E72DB43D7F7}" presName="rootComposite" presStyleCnt="0"/>
      <dgm:spPr/>
    </dgm:pt>
    <dgm:pt modelId="{7E1609F9-B170-407B-9CDE-0F2DF94585D6}" type="pres">
      <dgm:prSet presAssocID="{F5EB20E8-75E7-47A0-98BD-4E72DB43D7F7}" presName="rootText" presStyleLbl="node2" presStyleIdx="4" presStyleCnt="10">
        <dgm:presLayoutVars>
          <dgm:chPref val="3"/>
        </dgm:presLayoutVars>
      </dgm:prSet>
      <dgm:spPr/>
    </dgm:pt>
    <dgm:pt modelId="{DD909D1E-E4CD-4074-968C-9E9788AF5B56}" type="pres">
      <dgm:prSet presAssocID="{F5EB20E8-75E7-47A0-98BD-4E72DB43D7F7}" presName="rootConnector" presStyleLbl="node2" presStyleIdx="4" presStyleCnt="10"/>
      <dgm:spPr/>
    </dgm:pt>
    <dgm:pt modelId="{1775FDD5-008D-45AE-BEE7-22C11317E435}" type="pres">
      <dgm:prSet presAssocID="{F5EB20E8-75E7-47A0-98BD-4E72DB43D7F7}" presName="hierChild4" presStyleCnt="0"/>
      <dgm:spPr/>
    </dgm:pt>
    <dgm:pt modelId="{14955B30-2580-4B6B-8464-B26ACC404FD2}" type="pres">
      <dgm:prSet presAssocID="{F5EB20E8-75E7-47A0-98BD-4E72DB43D7F7}" presName="hierChild5" presStyleCnt="0"/>
      <dgm:spPr/>
    </dgm:pt>
    <dgm:pt modelId="{678E3163-46CC-4E69-BF9B-666EA2726059}" type="pres">
      <dgm:prSet presAssocID="{7E0526B2-6143-409D-99A4-6C0FCDA15695}" presName="Name64" presStyleLbl="parChTrans1D2" presStyleIdx="5" presStyleCnt="10"/>
      <dgm:spPr/>
    </dgm:pt>
    <dgm:pt modelId="{2EFA2D29-23C6-4252-95E5-448729342662}" type="pres">
      <dgm:prSet presAssocID="{AE9CBAA0-BDEB-4A3E-86C8-0F7CDF8E153E}" presName="hierRoot2" presStyleCnt="0">
        <dgm:presLayoutVars>
          <dgm:hierBranch val="init"/>
        </dgm:presLayoutVars>
      </dgm:prSet>
      <dgm:spPr/>
    </dgm:pt>
    <dgm:pt modelId="{B05924F0-4287-4268-9878-EDD811FAE242}" type="pres">
      <dgm:prSet presAssocID="{AE9CBAA0-BDEB-4A3E-86C8-0F7CDF8E153E}" presName="rootComposite" presStyleCnt="0"/>
      <dgm:spPr/>
    </dgm:pt>
    <dgm:pt modelId="{719A38A9-97CA-45E5-A90F-857D2F36A2C7}" type="pres">
      <dgm:prSet presAssocID="{AE9CBAA0-BDEB-4A3E-86C8-0F7CDF8E153E}" presName="rootText" presStyleLbl="node2" presStyleIdx="5" presStyleCnt="10">
        <dgm:presLayoutVars>
          <dgm:chPref val="3"/>
        </dgm:presLayoutVars>
      </dgm:prSet>
      <dgm:spPr/>
    </dgm:pt>
    <dgm:pt modelId="{17DAAA02-6626-4494-B5A0-2E6BFAAA5980}" type="pres">
      <dgm:prSet presAssocID="{AE9CBAA0-BDEB-4A3E-86C8-0F7CDF8E153E}" presName="rootConnector" presStyleLbl="node2" presStyleIdx="5" presStyleCnt="10"/>
      <dgm:spPr/>
    </dgm:pt>
    <dgm:pt modelId="{73C3AEF4-21EC-4590-9A4F-52767C1DEEA2}" type="pres">
      <dgm:prSet presAssocID="{AE9CBAA0-BDEB-4A3E-86C8-0F7CDF8E153E}" presName="hierChild4" presStyleCnt="0"/>
      <dgm:spPr/>
    </dgm:pt>
    <dgm:pt modelId="{0F2BE055-5D64-4C40-A4DC-0FFF4093EE03}" type="pres">
      <dgm:prSet presAssocID="{AE9CBAA0-BDEB-4A3E-86C8-0F7CDF8E153E}" presName="hierChild5" presStyleCnt="0"/>
      <dgm:spPr/>
    </dgm:pt>
    <dgm:pt modelId="{4AFBE07E-E44F-4B71-B653-915F0371EC8E}" type="pres">
      <dgm:prSet presAssocID="{2DB6AB93-6AE8-490C-807B-05DFE96B56F7}" presName="Name64" presStyleLbl="parChTrans1D2" presStyleIdx="6" presStyleCnt="10"/>
      <dgm:spPr/>
    </dgm:pt>
    <dgm:pt modelId="{15F52E33-734A-47D9-9CA3-AEFADCFE96DB}" type="pres">
      <dgm:prSet presAssocID="{B39ECE99-2368-4FD7-80DD-2F1A34BF174C}" presName="hierRoot2" presStyleCnt="0">
        <dgm:presLayoutVars>
          <dgm:hierBranch val="init"/>
        </dgm:presLayoutVars>
      </dgm:prSet>
      <dgm:spPr/>
    </dgm:pt>
    <dgm:pt modelId="{532BA0A4-E94D-4F2E-94CB-EFB569E22ACC}" type="pres">
      <dgm:prSet presAssocID="{B39ECE99-2368-4FD7-80DD-2F1A34BF174C}" presName="rootComposite" presStyleCnt="0"/>
      <dgm:spPr/>
    </dgm:pt>
    <dgm:pt modelId="{B43D0D84-715B-48A7-A70B-7969AB24C7AD}" type="pres">
      <dgm:prSet presAssocID="{B39ECE99-2368-4FD7-80DD-2F1A34BF174C}" presName="rootText" presStyleLbl="node2" presStyleIdx="6" presStyleCnt="10">
        <dgm:presLayoutVars>
          <dgm:chPref val="3"/>
        </dgm:presLayoutVars>
      </dgm:prSet>
      <dgm:spPr/>
    </dgm:pt>
    <dgm:pt modelId="{EF0E5F6D-1110-410B-8A99-3F9CF58303F9}" type="pres">
      <dgm:prSet presAssocID="{B39ECE99-2368-4FD7-80DD-2F1A34BF174C}" presName="rootConnector" presStyleLbl="node2" presStyleIdx="6" presStyleCnt="10"/>
      <dgm:spPr/>
    </dgm:pt>
    <dgm:pt modelId="{D366B007-307B-4FCE-B554-7F2B59B826BF}" type="pres">
      <dgm:prSet presAssocID="{B39ECE99-2368-4FD7-80DD-2F1A34BF174C}" presName="hierChild4" presStyleCnt="0"/>
      <dgm:spPr/>
    </dgm:pt>
    <dgm:pt modelId="{21FBE76F-549F-4812-BC83-B3B11B17D47A}" type="pres">
      <dgm:prSet presAssocID="{B39ECE99-2368-4FD7-80DD-2F1A34BF174C}" presName="hierChild5" presStyleCnt="0"/>
      <dgm:spPr/>
    </dgm:pt>
    <dgm:pt modelId="{9B69B8CD-4887-4C89-95A1-1516726E36C0}" type="pres">
      <dgm:prSet presAssocID="{AF6867C2-1C55-468B-A4DB-369989C8FBEC}" presName="Name64" presStyleLbl="parChTrans1D2" presStyleIdx="7" presStyleCnt="10"/>
      <dgm:spPr/>
    </dgm:pt>
    <dgm:pt modelId="{9A29D104-BB17-43FC-989D-6ED6F18B6238}" type="pres">
      <dgm:prSet presAssocID="{4F3CB3E6-EEC6-4B87-9E44-2AE35CE661CC}" presName="hierRoot2" presStyleCnt="0">
        <dgm:presLayoutVars>
          <dgm:hierBranch val="init"/>
        </dgm:presLayoutVars>
      </dgm:prSet>
      <dgm:spPr/>
    </dgm:pt>
    <dgm:pt modelId="{3A4CA14F-B648-4019-AA72-08306B6C3BDC}" type="pres">
      <dgm:prSet presAssocID="{4F3CB3E6-EEC6-4B87-9E44-2AE35CE661CC}" presName="rootComposite" presStyleCnt="0"/>
      <dgm:spPr/>
    </dgm:pt>
    <dgm:pt modelId="{97602CC2-1E24-4F29-B809-DB8E9568AA7E}" type="pres">
      <dgm:prSet presAssocID="{4F3CB3E6-EEC6-4B87-9E44-2AE35CE661CC}" presName="rootText" presStyleLbl="node2" presStyleIdx="7" presStyleCnt="10">
        <dgm:presLayoutVars>
          <dgm:chPref val="3"/>
        </dgm:presLayoutVars>
      </dgm:prSet>
      <dgm:spPr/>
    </dgm:pt>
    <dgm:pt modelId="{00630DFD-92A4-4ED8-8A39-95CE61B30A0C}" type="pres">
      <dgm:prSet presAssocID="{4F3CB3E6-EEC6-4B87-9E44-2AE35CE661CC}" presName="rootConnector" presStyleLbl="node2" presStyleIdx="7" presStyleCnt="10"/>
      <dgm:spPr/>
    </dgm:pt>
    <dgm:pt modelId="{73B82389-42C6-49F3-9D0B-575721D1E65B}" type="pres">
      <dgm:prSet presAssocID="{4F3CB3E6-EEC6-4B87-9E44-2AE35CE661CC}" presName="hierChild4" presStyleCnt="0"/>
      <dgm:spPr/>
    </dgm:pt>
    <dgm:pt modelId="{E4D6F0E5-B8C8-47B9-9349-BFB9AE6D509F}" type="pres">
      <dgm:prSet presAssocID="{4F3CB3E6-EEC6-4B87-9E44-2AE35CE661CC}" presName="hierChild5" presStyleCnt="0"/>
      <dgm:spPr/>
    </dgm:pt>
    <dgm:pt modelId="{E5762BB6-899D-4B64-8AE5-2DF1C1EDFAE1}" type="pres">
      <dgm:prSet presAssocID="{156EF41F-B1B3-477D-A24F-38D6DF457D98}" presName="Name64" presStyleLbl="parChTrans1D2" presStyleIdx="8" presStyleCnt="10"/>
      <dgm:spPr/>
    </dgm:pt>
    <dgm:pt modelId="{7182C506-A983-411A-B095-44F80506D530}" type="pres">
      <dgm:prSet presAssocID="{22280ED6-24F6-4F6E-9775-720BD1B2B1DC}" presName="hierRoot2" presStyleCnt="0">
        <dgm:presLayoutVars>
          <dgm:hierBranch val="init"/>
        </dgm:presLayoutVars>
      </dgm:prSet>
      <dgm:spPr/>
    </dgm:pt>
    <dgm:pt modelId="{DF597333-5533-4DD4-A3F4-9261B03D98C0}" type="pres">
      <dgm:prSet presAssocID="{22280ED6-24F6-4F6E-9775-720BD1B2B1DC}" presName="rootComposite" presStyleCnt="0"/>
      <dgm:spPr/>
    </dgm:pt>
    <dgm:pt modelId="{053A3ECE-B274-44BE-8883-95D5E09A7958}" type="pres">
      <dgm:prSet presAssocID="{22280ED6-24F6-4F6E-9775-720BD1B2B1DC}" presName="rootText" presStyleLbl="node2" presStyleIdx="8" presStyleCnt="10">
        <dgm:presLayoutVars>
          <dgm:chPref val="3"/>
        </dgm:presLayoutVars>
      </dgm:prSet>
      <dgm:spPr/>
    </dgm:pt>
    <dgm:pt modelId="{EA671523-91F7-4936-A503-7DC0DAD5E593}" type="pres">
      <dgm:prSet presAssocID="{22280ED6-24F6-4F6E-9775-720BD1B2B1DC}" presName="rootConnector" presStyleLbl="node2" presStyleIdx="8" presStyleCnt="10"/>
      <dgm:spPr/>
    </dgm:pt>
    <dgm:pt modelId="{61166749-A3EA-4F5C-9E7B-9838F83DFDCE}" type="pres">
      <dgm:prSet presAssocID="{22280ED6-24F6-4F6E-9775-720BD1B2B1DC}" presName="hierChild4" presStyleCnt="0"/>
      <dgm:spPr/>
    </dgm:pt>
    <dgm:pt modelId="{34D74169-830E-4E0C-8F62-D48203FE08A9}" type="pres">
      <dgm:prSet presAssocID="{22280ED6-24F6-4F6E-9775-720BD1B2B1DC}" presName="hierChild5" presStyleCnt="0"/>
      <dgm:spPr/>
    </dgm:pt>
    <dgm:pt modelId="{46429292-DCB7-4808-91B2-39230F820A6B}" type="pres">
      <dgm:prSet presAssocID="{43D37106-25D1-40DC-ADE0-69D492831A0F}" presName="Name64" presStyleLbl="parChTrans1D2" presStyleIdx="9" presStyleCnt="10"/>
      <dgm:spPr/>
    </dgm:pt>
    <dgm:pt modelId="{00401A8A-61FD-44C2-BB19-F779E39B3790}" type="pres">
      <dgm:prSet presAssocID="{20E09E53-9B3E-4CA7-BDB0-744CDBF8FF66}" presName="hierRoot2" presStyleCnt="0">
        <dgm:presLayoutVars>
          <dgm:hierBranch val="init"/>
        </dgm:presLayoutVars>
      </dgm:prSet>
      <dgm:spPr/>
    </dgm:pt>
    <dgm:pt modelId="{EC332DBB-B2DB-440B-B9D4-A594F18E4A5A}" type="pres">
      <dgm:prSet presAssocID="{20E09E53-9B3E-4CA7-BDB0-744CDBF8FF66}" presName="rootComposite" presStyleCnt="0"/>
      <dgm:spPr/>
    </dgm:pt>
    <dgm:pt modelId="{F81440EF-1205-4E7A-8909-C7F85CB7D76D}" type="pres">
      <dgm:prSet presAssocID="{20E09E53-9B3E-4CA7-BDB0-744CDBF8FF66}" presName="rootText" presStyleLbl="node2" presStyleIdx="9" presStyleCnt="10">
        <dgm:presLayoutVars>
          <dgm:chPref val="3"/>
        </dgm:presLayoutVars>
      </dgm:prSet>
      <dgm:spPr/>
    </dgm:pt>
    <dgm:pt modelId="{D06A340D-BE8E-4DCD-93A0-93940026002C}" type="pres">
      <dgm:prSet presAssocID="{20E09E53-9B3E-4CA7-BDB0-744CDBF8FF66}" presName="rootConnector" presStyleLbl="node2" presStyleIdx="9" presStyleCnt="10"/>
      <dgm:spPr/>
    </dgm:pt>
    <dgm:pt modelId="{D81E8D84-CCE1-47DC-B92F-E3F1A0F684EE}" type="pres">
      <dgm:prSet presAssocID="{20E09E53-9B3E-4CA7-BDB0-744CDBF8FF66}" presName="hierChild4" presStyleCnt="0"/>
      <dgm:spPr/>
    </dgm:pt>
    <dgm:pt modelId="{30641BC3-89D3-49B7-8DE1-1F0AD0FE0A84}" type="pres">
      <dgm:prSet presAssocID="{20E09E53-9B3E-4CA7-BDB0-744CDBF8FF66}" presName="hierChild5" presStyleCnt="0"/>
      <dgm:spPr/>
    </dgm:pt>
    <dgm:pt modelId="{6F60D33E-F3B2-4586-BD3B-ED1A0AB69D94}" type="pres">
      <dgm:prSet presAssocID="{8BA3A800-34B4-45C7-85E7-63418519B144}" presName="hierChild3" presStyleCnt="0"/>
      <dgm:spPr/>
    </dgm:pt>
  </dgm:ptLst>
  <dgm:cxnLst>
    <dgm:cxn modelId="{FFF6E000-539D-4242-9A0D-54D025E5FC02}" srcId="{6C09BE53-40C8-420C-B441-456C8F3A167F}" destId="{8BA3A800-34B4-45C7-85E7-63418519B144}" srcOrd="1" destOrd="0" parTransId="{6D7C9DB5-F255-4DCE-9791-E1CE5CD08329}" sibTransId="{B273C718-65ED-44AF-809D-54BC291AA6F8}"/>
    <dgm:cxn modelId="{2E619C01-76B5-49DF-980F-0FE09A6D01D3}" type="presOf" srcId="{B39ECE99-2368-4FD7-80DD-2F1A34BF174C}" destId="{EF0E5F6D-1110-410B-8A99-3F9CF58303F9}" srcOrd="1" destOrd="0" presId="urn:microsoft.com/office/officeart/2009/3/layout/HorizontalOrganizationChart"/>
    <dgm:cxn modelId="{E5AA9D05-1AF8-4E88-90E5-D9CF7253B634}" type="presOf" srcId="{20E09E53-9B3E-4CA7-BDB0-744CDBF8FF66}" destId="{D06A340D-BE8E-4DCD-93A0-93940026002C}" srcOrd="1" destOrd="0" presId="urn:microsoft.com/office/officeart/2009/3/layout/HorizontalOrganizationChart"/>
    <dgm:cxn modelId="{3E9C9706-887A-492A-B418-EA6F64AFF6D3}" type="presOf" srcId="{33DB8403-8417-4AA8-9ADE-57DE15C9403C}" destId="{111CA787-2CDC-4E00-9DF6-D76B22075FFF}" srcOrd="1" destOrd="0" presId="urn:microsoft.com/office/officeart/2009/3/layout/HorizontalOrganizationChart"/>
    <dgm:cxn modelId="{EE14720E-967E-4B4A-B728-CCDA5CE1E4E9}" type="presOf" srcId="{C1C761E7-42D9-4C39-813C-B470FB6F59C4}" destId="{5273E72F-AE0B-4BC3-923F-5ADDCAEA398D}" srcOrd="0" destOrd="0" presId="urn:microsoft.com/office/officeart/2009/3/layout/HorizontalOrganizationChart"/>
    <dgm:cxn modelId="{50889F0F-4460-47AF-98DE-1E400DC95E6A}" srcId="{8BA3A800-34B4-45C7-85E7-63418519B144}" destId="{33DB8403-8417-4AA8-9ADE-57DE15C9403C}" srcOrd="2" destOrd="0" parTransId="{8C2130E4-5B82-44EC-B85C-AA4DAFC22F31}" sibTransId="{45EF8386-CE9B-41E3-B60C-BB07A19FFCEC}"/>
    <dgm:cxn modelId="{E2933912-C765-41D5-BD84-A8EC7FEBC83A}" srcId="{8BA3A800-34B4-45C7-85E7-63418519B144}" destId="{B39ECE99-2368-4FD7-80DD-2F1A34BF174C}" srcOrd="5" destOrd="0" parTransId="{2DB6AB93-6AE8-490C-807B-05DFE96B56F7}" sibTransId="{3619DD19-C2A2-45DA-A8E2-77D22D2FFFC4}"/>
    <dgm:cxn modelId="{0014E212-00B3-46AF-9803-065751553BA0}" srcId="{8BA3A800-34B4-45C7-85E7-63418519B144}" destId="{29D38D0F-F8A8-4CF6-97BC-452E94E4210F}" srcOrd="1" destOrd="0" parTransId="{A0C9FDAA-5F2C-4E8F-AC4D-97E5E92B6713}" sibTransId="{1BDA54EC-9579-470E-93D8-433F35BBE59A}"/>
    <dgm:cxn modelId="{2523BF14-6581-4A5A-BC7A-C335D37FDAA5}" type="presOf" srcId="{7E0526B2-6143-409D-99A4-6C0FCDA15695}" destId="{678E3163-46CC-4E69-BF9B-666EA2726059}" srcOrd="0" destOrd="0" presId="urn:microsoft.com/office/officeart/2009/3/layout/HorizontalOrganizationChart"/>
    <dgm:cxn modelId="{A9543617-D251-4AE9-8FC1-932489885861}" type="presOf" srcId="{4F3CB3E6-EEC6-4B87-9E44-2AE35CE661CC}" destId="{97602CC2-1E24-4F29-B809-DB8E9568AA7E}" srcOrd="0" destOrd="0" presId="urn:microsoft.com/office/officeart/2009/3/layout/HorizontalOrganizationChart"/>
    <dgm:cxn modelId="{DB0A0924-A547-44E6-889F-51DA6357F420}" type="presOf" srcId="{29D38D0F-F8A8-4CF6-97BC-452E94E4210F}" destId="{C22C71A2-C1FC-4833-B3C5-AA8CDE27A42D}" srcOrd="1" destOrd="0" presId="urn:microsoft.com/office/officeart/2009/3/layout/HorizontalOrganizationChart"/>
    <dgm:cxn modelId="{EED2C024-E75B-44BB-83DC-66F7BFC251E1}" type="presOf" srcId="{AF5FD8C2-0BDE-4DF6-BF9A-D7082778F869}" destId="{A638DD4D-D242-431C-B8AF-E6678474700F}" srcOrd="1" destOrd="0" presId="urn:microsoft.com/office/officeart/2009/3/layout/HorizontalOrganizationChart"/>
    <dgm:cxn modelId="{91016928-0340-466B-8D82-6ABEEBEA2E34}" srcId="{A75DE815-ED94-40D4-BB12-EE4D7CECB740}" destId="{272E44D1-F024-4085-AF03-6F41A0C19869}" srcOrd="0" destOrd="0" parTransId="{7C641F35-DD80-4919-917B-2762963AE600}" sibTransId="{BA603411-EADF-4A31-B684-6DE2B3F0AAA5}"/>
    <dgm:cxn modelId="{46588A33-4DB7-45D8-9A49-62597D038B00}" type="presOf" srcId="{33DB8403-8417-4AA8-9ADE-57DE15C9403C}" destId="{D29EB807-C044-4971-9204-BEEDC1F5675C}" srcOrd="0" destOrd="0" presId="urn:microsoft.com/office/officeart/2009/3/layout/HorizontalOrganizationChart"/>
    <dgm:cxn modelId="{38CA633A-F4BF-4DEC-A969-57E89A800422}" type="presOf" srcId="{22EDAD02-FE2C-4D81-9821-AC91B6B90FDF}" destId="{CEF96935-0326-45D5-8816-1FD3AED43690}" srcOrd="1" destOrd="0" presId="urn:microsoft.com/office/officeart/2009/3/layout/HorizontalOrganizationChart"/>
    <dgm:cxn modelId="{B0055B3B-6E54-4A3D-946A-3070E88CBD75}" type="presOf" srcId="{A0C9FDAA-5F2C-4E8F-AC4D-97E5E92B6713}" destId="{73C2F568-19A0-461B-BFE1-C294CF01DD7F}" srcOrd="0" destOrd="0" presId="urn:microsoft.com/office/officeart/2009/3/layout/HorizontalOrganizationChart"/>
    <dgm:cxn modelId="{68C2545B-A319-442E-83FE-735D1BB8B339}" type="presOf" srcId="{B578D59D-A5C5-4E5B-953E-92FB5E54AB61}" destId="{0D1ACF5B-8519-4529-811B-222ABBF3DD55}" srcOrd="0" destOrd="0" presId="urn:microsoft.com/office/officeart/2009/3/layout/HorizontalOrganizationChart"/>
    <dgm:cxn modelId="{19FF7642-7788-4AE5-A62B-81CA32D10912}" type="presOf" srcId="{43D37106-25D1-40DC-ADE0-69D492831A0F}" destId="{46429292-DCB7-4808-91B2-39230F820A6B}" srcOrd="0" destOrd="0" presId="urn:microsoft.com/office/officeart/2009/3/layout/HorizontalOrganizationChart"/>
    <dgm:cxn modelId="{5D21D063-8715-4DAF-9797-BB1D6F4E5F20}" type="presOf" srcId="{6C09BE53-40C8-420C-B441-456C8F3A167F}" destId="{7F52D385-CE88-444E-8E28-B72505011830}" srcOrd="0" destOrd="0" presId="urn:microsoft.com/office/officeart/2009/3/layout/HorizontalOrganizationChart"/>
    <dgm:cxn modelId="{CBC4CD67-4214-4B0F-A229-FABC7367F234}" type="presOf" srcId="{20E09E53-9B3E-4CA7-BDB0-744CDBF8FF66}" destId="{F81440EF-1205-4E7A-8909-C7F85CB7D76D}" srcOrd="0" destOrd="0" presId="urn:microsoft.com/office/officeart/2009/3/layout/HorizontalOrganizationChart"/>
    <dgm:cxn modelId="{E7A42268-382E-48F2-B34F-200E88B7899E}" type="presOf" srcId="{1BACA5F7-3CD3-4F0B-B2CD-154AB654EE68}" destId="{81678FDE-40A3-47FD-8869-B89FF0A53D1F}" srcOrd="0" destOrd="0" presId="urn:microsoft.com/office/officeart/2009/3/layout/HorizontalOrganizationChart"/>
    <dgm:cxn modelId="{BDE3476A-B99C-45F1-BD26-C0E7523A7B5B}" srcId="{AF5FD8C2-0BDE-4DF6-BF9A-D7082778F869}" destId="{22EDAD02-FE2C-4D81-9821-AC91B6B90FDF}" srcOrd="0" destOrd="0" parTransId="{B578D59D-A5C5-4E5B-953E-92FB5E54AB61}" sibTransId="{DF111BEC-23E4-41CC-96E8-04189FA11E02}"/>
    <dgm:cxn modelId="{EF47AA50-2C73-41AC-84BE-6059FC951646}" srcId="{6C09BE53-40C8-420C-B441-456C8F3A167F}" destId="{AF5FD8C2-0BDE-4DF6-BF9A-D7082778F869}" srcOrd="0" destOrd="0" parTransId="{027F8FA7-D923-4D5C-B365-0407FC6303D6}" sibTransId="{1926FE0A-6FDA-44D6-8E3B-DD0689B4F7C9}"/>
    <dgm:cxn modelId="{0CF3B751-1C9C-4987-A4E8-1FB1C513C3F2}" type="presOf" srcId="{F5EB20E8-75E7-47A0-98BD-4E72DB43D7F7}" destId="{7E1609F9-B170-407B-9CDE-0F2DF94585D6}" srcOrd="0" destOrd="0" presId="urn:microsoft.com/office/officeart/2009/3/layout/HorizontalOrganizationChart"/>
    <dgm:cxn modelId="{F6EE7475-3773-4844-9429-77CD642438F7}" type="presOf" srcId="{8BA3A800-34B4-45C7-85E7-63418519B144}" destId="{E0D76BE6-E509-4CAB-B585-ADAC0FAD2AEF}" srcOrd="1" destOrd="0" presId="urn:microsoft.com/office/officeart/2009/3/layout/HorizontalOrganizationChart"/>
    <dgm:cxn modelId="{D9760D57-3DC6-4F99-9CCD-3CD30A8D6F1A}" srcId="{8BA3A800-34B4-45C7-85E7-63418519B144}" destId="{AE9CBAA0-BDEB-4A3E-86C8-0F7CDF8E153E}" srcOrd="4" destOrd="0" parTransId="{7E0526B2-6143-409D-99A4-6C0FCDA15695}" sibTransId="{E86D637D-D01B-4D89-B4F1-4146001D21C0}"/>
    <dgm:cxn modelId="{1534EC7A-DFFD-4C2C-95FA-0C40536055F5}" type="presOf" srcId="{AE9CBAA0-BDEB-4A3E-86C8-0F7CDF8E153E}" destId="{719A38A9-97CA-45E5-A90F-857D2F36A2C7}" srcOrd="0" destOrd="0" presId="urn:microsoft.com/office/officeart/2009/3/layout/HorizontalOrganizationChart"/>
    <dgm:cxn modelId="{C9861F7D-7325-4D1E-97BB-480F44CEA6D7}" srcId="{8BA3A800-34B4-45C7-85E7-63418519B144}" destId="{22280ED6-24F6-4F6E-9775-720BD1B2B1DC}" srcOrd="7" destOrd="0" parTransId="{156EF41F-B1B3-477D-A24F-38D6DF457D98}" sibTransId="{F15353C1-E4A7-42DF-B06D-2EB9134ED266}"/>
    <dgm:cxn modelId="{FDD4AA83-9BA3-431E-BC5C-C55C96306346}" type="presOf" srcId="{22280ED6-24F6-4F6E-9775-720BD1B2B1DC}" destId="{053A3ECE-B274-44BE-8883-95D5E09A7958}" srcOrd="0" destOrd="0" presId="urn:microsoft.com/office/officeart/2009/3/layout/HorizontalOrganizationChart"/>
    <dgm:cxn modelId="{FD43AB8D-C725-4656-9F28-0E7428AF9D45}" type="presOf" srcId="{156EF41F-B1B3-477D-A24F-38D6DF457D98}" destId="{E5762BB6-899D-4B64-8AE5-2DF1C1EDFAE1}" srcOrd="0" destOrd="0" presId="urn:microsoft.com/office/officeart/2009/3/layout/HorizontalOrganizationChart"/>
    <dgm:cxn modelId="{02CD1E8E-CC1D-4879-87CB-C89967EBA422}" type="presOf" srcId="{7C641F35-DD80-4919-917B-2762963AE600}" destId="{65725BEE-3B47-47FC-A11F-1A6B91DA51FE}" srcOrd="0" destOrd="0" presId="urn:microsoft.com/office/officeart/2009/3/layout/HorizontalOrganizationChart"/>
    <dgm:cxn modelId="{BBE67294-220D-4579-BF9C-A3559E7CFA4E}" srcId="{8BA3A800-34B4-45C7-85E7-63418519B144}" destId="{F5EB20E8-75E7-47A0-98BD-4E72DB43D7F7}" srcOrd="3" destOrd="0" parTransId="{1BACA5F7-3CD3-4F0B-B2CD-154AB654EE68}" sibTransId="{6FF3766E-B30C-45E2-BF64-BC8A586F3E90}"/>
    <dgm:cxn modelId="{A57B7C9E-80C7-49BB-AEDC-364FEA579C45}" type="presOf" srcId="{AF6867C2-1C55-468B-A4DB-369989C8FBEC}" destId="{9B69B8CD-4887-4C89-95A1-1516726E36C0}" srcOrd="0" destOrd="0" presId="urn:microsoft.com/office/officeart/2009/3/layout/HorizontalOrganizationChart"/>
    <dgm:cxn modelId="{952394B3-195F-4ECF-A061-705579149994}" type="presOf" srcId="{22EDAD02-FE2C-4D81-9821-AC91B6B90FDF}" destId="{92609045-58A5-47E3-BC0E-350701D5273A}" srcOrd="0" destOrd="0" presId="urn:microsoft.com/office/officeart/2009/3/layout/HorizontalOrganizationChart"/>
    <dgm:cxn modelId="{A0C665B6-1366-4116-9577-FEFCDEC76F69}" srcId="{8BA3A800-34B4-45C7-85E7-63418519B144}" destId="{20E09E53-9B3E-4CA7-BDB0-744CDBF8FF66}" srcOrd="8" destOrd="0" parTransId="{43D37106-25D1-40DC-ADE0-69D492831A0F}" sibTransId="{EB955470-B729-49E6-B281-D9E4236BAE05}"/>
    <dgm:cxn modelId="{E7D702BD-F593-4E5F-9447-A6EAE6577EF1}" type="presOf" srcId="{A75DE815-ED94-40D4-BB12-EE4D7CECB740}" destId="{DF87597B-93D7-4AB8-A07F-A28AA3E3DAA5}" srcOrd="1" destOrd="0" presId="urn:microsoft.com/office/officeart/2009/3/layout/HorizontalOrganizationChart"/>
    <dgm:cxn modelId="{657851C6-3BAF-459F-B746-2E4024070AAC}" type="presOf" srcId="{8BA3A800-34B4-45C7-85E7-63418519B144}" destId="{13FDD2AA-EA01-4EA8-AA6D-A4288806A87F}" srcOrd="0" destOrd="0" presId="urn:microsoft.com/office/officeart/2009/3/layout/HorizontalOrganizationChart"/>
    <dgm:cxn modelId="{5C6C8DD2-03D3-437E-AFA4-D942663D605A}" type="presOf" srcId="{8C2130E4-5B82-44EC-B85C-AA4DAFC22F31}" destId="{442BEAC1-0C47-4787-B1E1-FD05BCFDA826}" srcOrd="0" destOrd="0" presId="urn:microsoft.com/office/officeart/2009/3/layout/HorizontalOrganizationChart"/>
    <dgm:cxn modelId="{BD275DDA-3AA9-4665-966E-FC769BD4A622}" type="presOf" srcId="{272E44D1-F024-4085-AF03-6F41A0C19869}" destId="{78840FAB-1B09-4886-A6F6-EC04854AB237}" srcOrd="1" destOrd="0" presId="urn:microsoft.com/office/officeart/2009/3/layout/HorizontalOrganizationChart"/>
    <dgm:cxn modelId="{01A525DD-A319-4FDC-A21D-532597865422}" type="presOf" srcId="{AF5FD8C2-0BDE-4DF6-BF9A-D7082778F869}" destId="{E57EFDC0-152E-40FF-ABBE-A42EC1D8A721}" srcOrd="0" destOrd="0" presId="urn:microsoft.com/office/officeart/2009/3/layout/HorizontalOrganizationChart"/>
    <dgm:cxn modelId="{662880E2-420F-46DC-BC2B-0983FEDB5F15}" type="presOf" srcId="{272E44D1-F024-4085-AF03-6F41A0C19869}" destId="{F74A6AF8-3341-4897-AF66-8AFD7DEBDA10}" srcOrd="0" destOrd="0" presId="urn:microsoft.com/office/officeart/2009/3/layout/HorizontalOrganizationChart"/>
    <dgm:cxn modelId="{C8C00DE5-B7C5-4CD4-A47A-ECDD2F08608E}" type="presOf" srcId="{B39ECE99-2368-4FD7-80DD-2F1A34BF174C}" destId="{B43D0D84-715B-48A7-A70B-7969AB24C7AD}" srcOrd="0" destOrd="0" presId="urn:microsoft.com/office/officeart/2009/3/layout/HorizontalOrganizationChart"/>
    <dgm:cxn modelId="{0D3871E6-D7F4-4DB4-950D-CD262DD04AB6}" type="presOf" srcId="{29D38D0F-F8A8-4CF6-97BC-452E94E4210F}" destId="{E60A21DA-7AC4-4C2B-AC3C-C8009D4AF248}" srcOrd="0" destOrd="0" presId="urn:microsoft.com/office/officeart/2009/3/layout/HorizontalOrganizationChart"/>
    <dgm:cxn modelId="{D2F3B5E7-3F08-4F0F-A770-BE08B710203F}" type="presOf" srcId="{AE9CBAA0-BDEB-4A3E-86C8-0F7CDF8E153E}" destId="{17DAAA02-6626-4494-B5A0-2E6BFAAA5980}" srcOrd="1" destOrd="0" presId="urn:microsoft.com/office/officeart/2009/3/layout/HorizontalOrganizationChart"/>
    <dgm:cxn modelId="{7571D9EA-A22F-4925-9DD9-E19A373DCA38}" type="presOf" srcId="{22280ED6-24F6-4F6E-9775-720BD1B2B1DC}" destId="{EA671523-91F7-4936-A503-7DC0DAD5E593}" srcOrd="1" destOrd="0" presId="urn:microsoft.com/office/officeart/2009/3/layout/HorizontalOrganizationChart"/>
    <dgm:cxn modelId="{C258A2ED-936D-4F8E-9EAD-C2997808A4FC}" type="presOf" srcId="{2DB6AB93-6AE8-490C-807B-05DFE96B56F7}" destId="{4AFBE07E-E44F-4B71-B653-915F0371EC8E}" srcOrd="0" destOrd="0" presId="urn:microsoft.com/office/officeart/2009/3/layout/HorizontalOrganizationChart"/>
    <dgm:cxn modelId="{7C8EDAED-5688-4774-86DF-E99EF0B5835B}" type="presOf" srcId="{A75DE815-ED94-40D4-BB12-EE4D7CECB740}" destId="{266D8037-241A-4FFB-A2B6-3E4CAAC3A054}" srcOrd="0" destOrd="0" presId="urn:microsoft.com/office/officeart/2009/3/layout/HorizontalOrganizationChart"/>
    <dgm:cxn modelId="{A86B39F1-4116-4E4F-8BCA-5F3B1676FBC8}" type="presOf" srcId="{F5EB20E8-75E7-47A0-98BD-4E72DB43D7F7}" destId="{DD909D1E-E4CD-4074-968C-9E9788AF5B56}" srcOrd="1" destOrd="0" presId="urn:microsoft.com/office/officeart/2009/3/layout/HorizontalOrganizationChart"/>
    <dgm:cxn modelId="{42419DF2-DD12-4A46-A20D-F31F3CFC7F9A}" type="presOf" srcId="{4F3CB3E6-EEC6-4B87-9E44-2AE35CE661CC}" destId="{00630DFD-92A4-4ED8-8A39-95CE61B30A0C}" srcOrd="1" destOrd="0" presId="urn:microsoft.com/office/officeart/2009/3/layout/HorizontalOrganizationChart"/>
    <dgm:cxn modelId="{A1FF5BF7-457F-4667-A3DB-37FA31BF0266}" srcId="{8BA3A800-34B4-45C7-85E7-63418519B144}" destId="{4F3CB3E6-EEC6-4B87-9E44-2AE35CE661CC}" srcOrd="6" destOrd="0" parTransId="{AF6867C2-1C55-468B-A4DB-369989C8FBEC}" sibTransId="{0A22354A-C050-44D2-9ACC-DDD10C4F6B31}"/>
    <dgm:cxn modelId="{A99D8AFA-7D78-4D13-B1E3-8247C9D298CB}" srcId="{8BA3A800-34B4-45C7-85E7-63418519B144}" destId="{A75DE815-ED94-40D4-BB12-EE4D7CECB740}" srcOrd="0" destOrd="0" parTransId="{C1C761E7-42D9-4C39-813C-B470FB6F59C4}" sibTransId="{62AD13A7-A1AD-45A3-A4F3-802603FBA6E1}"/>
    <dgm:cxn modelId="{6D15A436-2746-427C-B7C9-364706131CAD}" type="presParOf" srcId="{7F52D385-CE88-444E-8E28-B72505011830}" destId="{9814C8CD-3750-43D4-89D8-760121D83321}" srcOrd="0" destOrd="0" presId="urn:microsoft.com/office/officeart/2009/3/layout/HorizontalOrganizationChart"/>
    <dgm:cxn modelId="{6CD34A78-E510-497A-BBA4-182C9EC2FBDD}" type="presParOf" srcId="{9814C8CD-3750-43D4-89D8-760121D83321}" destId="{507F5D82-1257-4A0A-86F1-CEBAA236D5BC}" srcOrd="0" destOrd="0" presId="urn:microsoft.com/office/officeart/2009/3/layout/HorizontalOrganizationChart"/>
    <dgm:cxn modelId="{30CA00F2-E233-4674-A705-32F3CF70937A}" type="presParOf" srcId="{507F5D82-1257-4A0A-86F1-CEBAA236D5BC}" destId="{E57EFDC0-152E-40FF-ABBE-A42EC1D8A721}" srcOrd="0" destOrd="0" presId="urn:microsoft.com/office/officeart/2009/3/layout/HorizontalOrganizationChart"/>
    <dgm:cxn modelId="{90FC94B5-6D95-4E64-906C-CC97EBF0B8B4}" type="presParOf" srcId="{507F5D82-1257-4A0A-86F1-CEBAA236D5BC}" destId="{A638DD4D-D242-431C-B8AF-E6678474700F}" srcOrd="1" destOrd="0" presId="urn:microsoft.com/office/officeart/2009/3/layout/HorizontalOrganizationChart"/>
    <dgm:cxn modelId="{8ADF0980-89DA-4036-91C2-AEABDBDF4A4A}" type="presParOf" srcId="{9814C8CD-3750-43D4-89D8-760121D83321}" destId="{7A0B267F-D031-4E57-B1E9-F475BC647BE8}" srcOrd="1" destOrd="0" presId="urn:microsoft.com/office/officeart/2009/3/layout/HorizontalOrganizationChart"/>
    <dgm:cxn modelId="{380A5B75-05DE-4DD2-B4DB-2EBCD9A09F69}" type="presParOf" srcId="{7A0B267F-D031-4E57-B1E9-F475BC647BE8}" destId="{0D1ACF5B-8519-4529-811B-222ABBF3DD55}" srcOrd="0" destOrd="0" presId="urn:microsoft.com/office/officeart/2009/3/layout/HorizontalOrganizationChart"/>
    <dgm:cxn modelId="{C9F7395E-B6E2-40AB-9526-9CCF65536789}" type="presParOf" srcId="{7A0B267F-D031-4E57-B1E9-F475BC647BE8}" destId="{168F1D6E-D716-4764-9C26-76E4783636B1}" srcOrd="1" destOrd="0" presId="urn:microsoft.com/office/officeart/2009/3/layout/HorizontalOrganizationChart"/>
    <dgm:cxn modelId="{0BEAAACF-957B-47E0-A41C-C5528E4C494D}" type="presParOf" srcId="{168F1D6E-D716-4764-9C26-76E4783636B1}" destId="{FD0ADAA7-057D-4670-AC7C-F9C67F4FDAED}" srcOrd="0" destOrd="0" presId="urn:microsoft.com/office/officeart/2009/3/layout/HorizontalOrganizationChart"/>
    <dgm:cxn modelId="{8F6226B8-D16C-4D8A-8254-09A21779C308}" type="presParOf" srcId="{FD0ADAA7-057D-4670-AC7C-F9C67F4FDAED}" destId="{92609045-58A5-47E3-BC0E-350701D5273A}" srcOrd="0" destOrd="0" presId="urn:microsoft.com/office/officeart/2009/3/layout/HorizontalOrganizationChart"/>
    <dgm:cxn modelId="{B8874643-0037-43AA-9F98-6DD8E580A18E}" type="presParOf" srcId="{FD0ADAA7-057D-4670-AC7C-F9C67F4FDAED}" destId="{CEF96935-0326-45D5-8816-1FD3AED43690}" srcOrd="1" destOrd="0" presId="urn:microsoft.com/office/officeart/2009/3/layout/HorizontalOrganizationChart"/>
    <dgm:cxn modelId="{586FF5FF-7D5A-4850-9B95-884B6AE99B21}" type="presParOf" srcId="{168F1D6E-D716-4764-9C26-76E4783636B1}" destId="{C862F1D8-DD02-428F-AFF7-99D18BD10AA0}" srcOrd="1" destOrd="0" presId="urn:microsoft.com/office/officeart/2009/3/layout/HorizontalOrganizationChart"/>
    <dgm:cxn modelId="{B78C9549-556A-42DB-9090-20BCB9DD27A9}" type="presParOf" srcId="{168F1D6E-D716-4764-9C26-76E4783636B1}" destId="{D6C35AEA-65DD-43C2-845D-506E13621A99}" srcOrd="2" destOrd="0" presId="urn:microsoft.com/office/officeart/2009/3/layout/HorizontalOrganizationChart"/>
    <dgm:cxn modelId="{119C4719-144A-45F7-A8EC-D440FE27CFF5}" type="presParOf" srcId="{9814C8CD-3750-43D4-89D8-760121D83321}" destId="{B0C96286-F565-4A46-A1C8-D54A9EEF84A7}" srcOrd="2" destOrd="0" presId="urn:microsoft.com/office/officeart/2009/3/layout/HorizontalOrganizationChart"/>
    <dgm:cxn modelId="{B662B40E-1407-49F3-A28C-46DC31344C3A}" type="presParOf" srcId="{7F52D385-CE88-444E-8E28-B72505011830}" destId="{C3267168-1194-4ABB-BC8D-36674E2AAC52}" srcOrd="1" destOrd="0" presId="urn:microsoft.com/office/officeart/2009/3/layout/HorizontalOrganizationChart"/>
    <dgm:cxn modelId="{070042CE-58F4-41CF-AF62-0DFE044634A3}" type="presParOf" srcId="{C3267168-1194-4ABB-BC8D-36674E2AAC52}" destId="{90DC8976-CB34-479A-840A-D37E0063A166}" srcOrd="0" destOrd="0" presId="urn:microsoft.com/office/officeart/2009/3/layout/HorizontalOrganizationChart"/>
    <dgm:cxn modelId="{4B121FAC-9D5D-44E5-BE9F-53FD1CD8B3DE}" type="presParOf" srcId="{90DC8976-CB34-479A-840A-D37E0063A166}" destId="{13FDD2AA-EA01-4EA8-AA6D-A4288806A87F}" srcOrd="0" destOrd="0" presId="urn:microsoft.com/office/officeart/2009/3/layout/HorizontalOrganizationChart"/>
    <dgm:cxn modelId="{69D10826-B61E-434C-9F97-DF1C3C0B135E}" type="presParOf" srcId="{90DC8976-CB34-479A-840A-D37E0063A166}" destId="{E0D76BE6-E509-4CAB-B585-ADAC0FAD2AEF}" srcOrd="1" destOrd="0" presId="urn:microsoft.com/office/officeart/2009/3/layout/HorizontalOrganizationChart"/>
    <dgm:cxn modelId="{DC8429DB-BAE3-46D6-BCDF-077D6A469336}" type="presParOf" srcId="{C3267168-1194-4ABB-BC8D-36674E2AAC52}" destId="{72B0C721-DDCF-4AB8-BBE5-D37857700BA8}" srcOrd="1" destOrd="0" presId="urn:microsoft.com/office/officeart/2009/3/layout/HorizontalOrganizationChart"/>
    <dgm:cxn modelId="{048DF7BA-8590-496D-A92F-146A150E9A96}" type="presParOf" srcId="{72B0C721-DDCF-4AB8-BBE5-D37857700BA8}" destId="{5273E72F-AE0B-4BC3-923F-5ADDCAEA398D}" srcOrd="0" destOrd="0" presId="urn:microsoft.com/office/officeart/2009/3/layout/HorizontalOrganizationChart"/>
    <dgm:cxn modelId="{B7852447-6E77-430F-8477-4F8D3D2CE575}" type="presParOf" srcId="{72B0C721-DDCF-4AB8-BBE5-D37857700BA8}" destId="{7DF6905C-7A36-4328-9E80-B6AEEA1FCA40}" srcOrd="1" destOrd="0" presId="urn:microsoft.com/office/officeart/2009/3/layout/HorizontalOrganizationChart"/>
    <dgm:cxn modelId="{2D52CD10-6303-43EF-A0C4-CDFB4BB2D0D0}" type="presParOf" srcId="{7DF6905C-7A36-4328-9E80-B6AEEA1FCA40}" destId="{BA92BC48-2EC4-47D8-A8F9-7F9DABDEFF6A}" srcOrd="0" destOrd="0" presId="urn:microsoft.com/office/officeart/2009/3/layout/HorizontalOrganizationChart"/>
    <dgm:cxn modelId="{BB87B0D5-2A33-4B03-851A-5BD6E049D772}" type="presParOf" srcId="{BA92BC48-2EC4-47D8-A8F9-7F9DABDEFF6A}" destId="{266D8037-241A-4FFB-A2B6-3E4CAAC3A054}" srcOrd="0" destOrd="0" presId="urn:microsoft.com/office/officeart/2009/3/layout/HorizontalOrganizationChart"/>
    <dgm:cxn modelId="{388F39DE-75D9-4C5B-A813-AD983AC3B1F6}" type="presParOf" srcId="{BA92BC48-2EC4-47D8-A8F9-7F9DABDEFF6A}" destId="{DF87597B-93D7-4AB8-A07F-A28AA3E3DAA5}" srcOrd="1" destOrd="0" presId="urn:microsoft.com/office/officeart/2009/3/layout/HorizontalOrganizationChart"/>
    <dgm:cxn modelId="{0DFA1A99-A4C0-43BB-AEF2-F6658AC83195}" type="presParOf" srcId="{7DF6905C-7A36-4328-9E80-B6AEEA1FCA40}" destId="{31A37A01-1A21-48B7-AC32-6EB448E5A037}" srcOrd="1" destOrd="0" presId="urn:microsoft.com/office/officeart/2009/3/layout/HorizontalOrganizationChart"/>
    <dgm:cxn modelId="{3DF3672B-318F-4B9B-ADF0-902227F4871A}" type="presParOf" srcId="{31A37A01-1A21-48B7-AC32-6EB448E5A037}" destId="{65725BEE-3B47-47FC-A11F-1A6B91DA51FE}" srcOrd="0" destOrd="0" presId="urn:microsoft.com/office/officeart/2009/3/layout/HorizontalOrganizationChart"/>
    <dgm:cxn modelId="{A4FB6F87-86B4-45FA-B78B-7A64C66B0B25}" type="presParOf" srcId="{31A37A01-1A21-48B7-AC32-6EB448E5A037}" destId="{7BE72103-AF6B-49B8-BC54-49404B37A3BF}" srcOrd="1" destOrd="0" presId="urn:microsoft.com/office/officeart/2009/3/layout/HorizontalOrganizationChart"/>
    <dgm:cxn modelId="{9AF06DD6-A505-45DC-AE13-FF610181AD11}" type="presParOf" srcId="{7BE72103-AF6B-49B8-BC54-49404B37A3BF}" destId="{EB14B5C4-8B80-4A37-B8EC-6ED7ACFD2456}" srcOrd="0" destOrd="0" presId="urn:microsoft.com/office/officeart/2009/3/layout/HorizontalOrganizationChart"/>
    <dgm:cxn modelId="{806F5B53-92C1-4499-9CD7-BB857B22FC2B}" type="presParOf" srcId="{EB14B5C4-8B80-4A37-B8EC-6ED7ACFD2456}" destId="{F74A6AF8-3341-4897-AF66-8AFD7DEBDA10}" srcOrd="0" destOrd="0" presId="urn:microsoft.com/office/officeart/2009/3/layout/HorizontalOrganizationChart"/>
    <dgm:cxn modelId="{25F00845-563C-4202-AF4B-87118150B683}" type="presParOf" srcId="{EB14B5C4-8B80-4A37-B8EC-6ED7ACFD2456}" destId="{78840FAB-1B09-4886-A6F6-EC04854AB237}" srcOrd="1" destOrd="0" presId="urn:microsoft.com/office/officeart/2009/3/layout/HorizontalOrganizationChart"/>
    <dgm:cxn modelId="{2C3B696D-0278-4BD7-A09C-BC3A5D067F89}" type="presParOf" srcId="{7BE72103-AF6B-49B8-BC54-49404B37A3BF}" destId="{62595D3C-641F-4C65-A954-E5AEE78838CF}" srcOrd="1" destOrd="0" presId="urn:microsoft.com/office/officeart/2009/3/layout/HorizontalOrganizationChart"/>
    <dgm:cxn modelId="{81A1E2A2-055B-484B-B837-292E8E13535F}" type="presParOf" srcId="{7BE72103-AF6B-49B8-BC54-49404B37A3BF}" destId="{ACDA8AE4-89C9-44C1-A84A-0FD16B9531A1}" srcOrd="2" destOrd="0" presId="urn:microsoft.com/office/officeart/2009/3/layout/HorizontalOrganizationChart"/>
    <dgm:cxn modelId="{E69C8A91-BC3C-44F8-83AD-861889A240AB}" type="presParOf" srcId="{7DF6905C-7A36-4328-9E80-B6AEEA1FCA40}" destId="{F8B72FF0-3C68-4924-A925-DE9C1B714362}" srcOrd="2" destOrd="0" presId="urn:microsoft.com/office/officeart/2009/3/layout/HorizontalOrganizationChart"/>
    <dgm:cxn modelId="{6C047051-8B7D-4C89-97FE-66400B91B0AC}" type="presParOf" srcId="{72B0C721-DDCF-4AB8-BBE5-D37857700BA8}" destId="{73C2F568-19A0-461B-BFE1-C294CF01DD7F}" srcOrd="2" destOrd="0" presId="urn:microsoft.com/office/officeart/2009/3/layout/HorizontalOrganizationChart"/>
    <dgm:cxn modelId="{D10FE880-57E6-498C-AE5A-50C6E9E83BA6}" type="presParOf" srcId="{72B0C721-DDCF-4AB8-BBE5-D37857700BA8}" destId="{F0ED21F3-9031-4A6B-9DB6-EEDE4F5000C5}" srcOrd="3" destOrd="0" presId="urn:microsoft.com/office/officeart/2009/3/layout/HorizontalOrganizationChart"/>
    <dgm:cxn modelId="{784AECDF-FF8E-45D8-B308-EDA41575C8C9}" type="presParOf" srcId="{F0ED21F3-9031-4A6B-9DB6-EEDE4F5000C5}" destId="{98699DED-72F2-4520-8AC7-DC8DBEFDE12B}" srcOrd="0" destOrd="0" presId="urn:microsoft.com/office/officeart/2009/3/layout/HorizontalOrganizationChart"/>
    <dgm:cxn modelId="{4611DC5B-7992-4658-8CD5-B76965B1D1E7}" type="presParOf" srcId="{98699DED-72F2-4520-8AC7-DC8DBEFDE12B}" destId="{E60A21DA-7AC4-4C2B-AC3C-C8009D4AF248}" srcOrd="0" destOrd="0" presId="urn:microsoft.com/office/officeart/2009/3/layout/HorizontalOrganizationChart"/>
    <dgm:cxn modelId="{F5F7FCEB-1265-419D-B3BA-4C0491E7DC02}" type="presParOf" srcId="{98699DED-72F2-4520-8AC7-DC8DBEFDE12B}" destId="{C22C71A2-C1FC-4833-B3C5-AA8CDE27A42D}" srcOrd="1" destOrd="0" presId="urn:microsoft.com/office/officeart/2009/3/layout/HorizontalOrganizationChart"/>
    <dgm:cxn modelId="{2B0D2530-8771-4613-81E7-61C860CAABC3}" type="presParOf" srcId="{F0ED21F3-9031-4A6B-9DB6-EEDE4F5000C5}" destId="{A797B45E-CEFE-40AC-BABC-48828B0FB4AF}" srcOrd="1" destOrd="0" presId="urn:microsoft.com/office/officeart/2009/3/layout/HorizontalOrganizationChart"/>
    <dgm:cxn modelId="{8C20B33D-EA17-4AF7-9A50-99D34CFACDA3}" type="presParOf" srcId="{F0ED21F3-9031-4A6B-9DB6-EEDE4F5000C5}" destId="{348BD3B1-1579-4C6D-8882-5A471C07D499}" srcOrd="2" destOrd="0" presId="urn:microsoft.com/office/officeart/2009/3/layout/HorizontalOrganizationChart"/>
    <dgm:cxn modelId="{173A64EC-D83B-4710-998B-8C350D8F6ED3}" type="presParOf" srcId="{72B0C721-DDCF-4AB8-BBE5-D37857700BA8}" destId="{442BEAC1-0C47-4787-B1E1-FD05BCFDA826}" srcOrd="4" destOrd="0" presId="urn:microsoft.com/office/officeart/2009/3/layout/HorizontalOrganizationChart"/>
    <dgm:cxn modelId="{920B3141-0999-4EDB-A274-040F8A52B14B}" type="presParOf" srcId="{72B0C721-DDCF-4AB8-BBE5-D37857700BA8}" destId="{4E594AE4-AE00-4597-B7D2-7080A8334FD1}" srcOrd="5" destOrd="0" presId="urn:microsoft.com/office/officeart/2009/3/layout/HorizontalOrganizationChart"/>
    <dgm:cxn modelId="{70F4C433-B1C3-4EB7-B5B7-1FC95043DA36}" type="presParOf" srcId="{4E594AE4-AE00-4597-B7D2-7080A8334FD1}" destId="{38BCECE6-A90D-4EDC-9B23-2593A5CC5AB1}" srcOrd="0" destOrd="0" presId="urn:microsoft.com/office/officeart/2009/3/layout/HorizontalOrganizationChart"/>
    <dgm:cxn modelId="{27259872-C332-43E3-90DB-EC3499B9F71E}" type="presParOf" srcId="{38BCECE6-A90D-4EDC-9B23-2593A5CC5AB1}" destId="{D29EB807-C044-4971-9204-BEEDC1F5675C}" srcOrd="0" destOrd="0" presId="urn:microsoft.com/office/officeart/2009/3/layout/HorizontalOrganizationChart"/>
    <dgm:cxn modelId="{A996E0F9-05D3-462D-AF9D-51149D4F55B9}" type="presParOf" srcId="{38BCECE6-A90D-4EDC-9B23-2593A5CC5AB1}" destId="{111CA787-2CDC-4E00-9DF6-D76B22075FFF}" srcOrd="1" destOrd="0" presId="urn:microsoft.com/office/officeart/2009/3/layout/HorizontalOrganizationChart"/>
    <dgm:cxn modelId="{6DB2BBB3-8F06-4E98-AF84-22B31E380DF5}" type="presParOf" srcId="{4E594AE4-AE00-4597-B7D2-7080A8334FD1}" destId="{12A9C4B7-A0CE-4F39-9820-66630D9B9AD4}" srcOrd="1" destOrd="0" presId="urn:microsoft.com/office/officeart/2009/3/layout/HorizontalOrganizationChart"/>
    <dgm:cxn modelId="{1DCA24E4-8FBF-4D7C-B3F7-0AA5DFF38AAB}" type="presParOf" srcId="{4E594AE4-AE00-4597-B7D2-7080A8334FD1}" destId="{9FA5D213-3F71-4E64-98FE-AE1CFF683397}" srcOrd="2" destOrd="0" presId="urn:microsoft.com/office/officeart/2009/3/layout/HorizontalOrganizationChart"/>
    <dgm:cxn modelId="{B20AB5F0-CEBF-4612-9D17-0BD2745F81E1}" type="presParOf" srcId="{72B0C721-DDCF-4AB8-BBE5-D37857700BA8}" destId="{81678FDE-40A3-47FD-8869-B89FF0A53D1F}" srcOrd="6" destOrd="0" presId="urn:microsoft.com/office/officeart/2009/3/layout/HorizontalOrganizationChart"/>
    <dgm:cxn modelId="{3D7775FD-CA21-480F-9733-4780A264AF43}" type="presParOf" srcId="{72B0C721-DDCF-4AB8-BBE5-D37857700BA8}" destId="{AC2B3A41-7D10-4187-8E6F-F7A327623C87}" srcOrd="7" destOrd="0" presId="urn:microsoft.com/office/officeart/2009/3/layout/HorizontalOrganizationChart"/>
    <dgm:cxn modelId="{EEA61B49-1C41-4D17-A445-EEEA1DDFD481}" type="presParOf" srcId="{AC2B3A41-7D10-4187-8E6F-F7A327623C87}" destId="{A18170E1-E5E0-4BA4-8C2F-CF0D9E8BDD45}" srcOrd="0" destOrd="0" presId="urn:microsoft.com/office/officeart/2009/3/layout/HorizontalOrganizationChart"/>
    <dgm:cxn modelId="{E6872281-9EAA-4C31-8E19-43E0DC81C36E}" type="presParOf" srcId="{A18170E1-E5E0-4BA4-8C2F-CF0D9E8BDD45}" destId="{7E1609F9-B170-407B-9CDE-0F2DF94585D6}" srcOrd="0" destOrd="0" presId="urn:microsoft.com/office/officeart/2009/3/layout/HorizontalOrganizationChart"/>
    <dgm:cxn modelId="{2BCDE5D8-D655-41E4-9C1D-394962BDC1D5}" type="presParOf" srcId="{A18170E1-E5E0-4BA4-8C2F-CF0D9E8BDD45}" destId="{DD909D1E-E4CD-4074-968C-9E9788AF5B56}" srcOrd="1" destOrd="0" presId="urn:microsoft.com/office/officeart/2009/3/layout/HorizontalOrganizationChart"/>
    <dgm:cxn modelId="{87DD89F5-7C19-4CA4-96DF-A9C2E0B7023F}" type="presParOf" srcId="{AC2B3A41-7D10-4187-8E6F-F7A327623C87}" destId="{1775FDD5-008D-45AE-BEE7-22C11317E435}" srcOrd="1" destOrd="0" presId="urn:microsoft.com/office/officeart/2009/3/layout/HorizontalOrganizationChart"/>
    <dgm:cxn modelId="{73E933E9-CE6E-422F-9634-153FC0561924}" type="presParOf" srcId="{AC2B3A41-7D10-4187-8E6F-F7A327623C87}" destId="{14955B30-2580-4B6B-8464-B26ACC404FD2}" srcOrd="2" destOrd="0" presId="urn:microsoft.com/office/officeart/2009/3/layout/HorizontalOrganizationChart"/>
    <dgm:cxn modelId="{B54B9280-027D-4E06-B4E0-011F94FD869F}" type="presParOf" srcId="{72B0C721-DDCF-4AB8-BBE5-D37857700BA8}" destId="{678E3163-46CC-4E69-BF9B-666EA2726059}" srcOrd="8" destOrd="0" presId="urn:microsoft.com/office/officeart/2009/3/layout/HorizontalOrganizationChart"/>
    <dgm:cxn modelId="{999D426A-1DAE-4D97-BECB-8CE74173B339}" type="presParOf" srcId="{72B0C721-DDCF-4AB8-BBE5-D37857700BA8}" destId="{2EFA2D29-23C6-4252-95E5-448729342662}" srcOrd="9" destOrd="0" presId="urn:microsoft.com/office/officeart/2009/3/layout/HorizontalOrganizationChart"/>
    <dgm:cxn modelId="{6C3617B5-FFE6-4BED-B2D8-9BD8B383C8A7}" type="presParOf" srcId="{2EFA2D29-23C6-4252-95E5-448729342662}" destId="{B05924F0-4287-4268-9878-EDD811FAE242}" srcOrd="0" destOrd="0" presId="urn:microsoft.com/office/officeart/2009/3/layout/HorizontalOrganizationChart"/>
    <dgm:cxn modelId="{16960DDE-D056-4EF6-9239-6A5A691C8116}" type="presParOf" srcId="{B05924F0-4287-4268-9878-EDD811FAE242}" destId="{719A38A9-97CA-45E5-A90F-857D2F36A2C7}" srcOrd="0" destOrd="0" presId="urn:microsoft.com/office/officeart/2009/3/layout/HorizontalOrganizationChart"/>
    <dgm:cxn modelId="{F573FE71-A573-400C-A0C3-F3B48D2B9AFA}" type="presParOf" srcId="{B05924F0-4287-4268-9878-EDD811FAE242}" destId="{17DAAA02-6626-4494-B5A0-2E6BFAAA5980}" srcOrd="1" destOrd="0" presId="urn:microsoft.com/office/officeart/2009/3/layout/HorizontalOrganizationChart"/>
    <dgm:cxn modelId="{9206942C-EED3-49B8-8318-D33DCE61ABC3}" type="presParOf" srcId="{2EFA2D29-23C6-4252-95E5-448729342662}" destId="{73C3AEF4-21EC-4590-9A4F-52767C1DEEA2}" srcOrd="1" destOrd="0" presId="urn:microsoft.com/office/officeart/2009/3/layout/HorizontalOrganizationChart"/>
    <dgm:cxn modelId="{0EDDD882-75D8-4387-B005-271A6826D0F3}" type="presParOf" srcId="{2EFA2D29-23C6-4252-95E5-448729342662}" destId="{0F2BE055-5D64-4C40-A4DC-0FFF4093EE03}" srcOrd="2" destOrd="0" presId="urn:microsoft.com/office/officeart/2009/3/layout/HorizontalOrganizationChart"/>
    <dgm:cxn modelId="{2DCAD52F-C9BD-48FF-8DE6-87ECE1916DEB}" type="presParOf" srcId="{72B0C721-DDCF-4AB8-BBE5-D37857700BA8}" destId="{4AFBE07E-E44F-4B71-B653-915F0371EC8E}" srcOrd="10" destOrd="0" presId="urn:microsoft.com/office/officeart/2009/3/layout/HorizontalOrganizationChart"/>
    <dgm:cxn modelId="{7F7CB61F-7446-4386-BA66-C99BD2ABFD7E}" type="presParOf" srcId="{72B0C721-DDCF-4AB8-BBE5-D37857700BA8}" destId="{15F52E33-734A-47D9-9CA3-AEFADCFE96DB}" srcOrd="11" destOrd="0" presId="urn:microsoft.com/office/officeart/2009/3/layout/HorizontalOrganizationChart"/>
    <dgm:cxn modelId="{97D740D8-A872-4E02-98FE-2FC4D444AE14}" type="presParOf" srcId="{15F52E33-734A-47D9-9CA3-AEFADCFE96DB}" destId="{532BA0A4-E94D-4F2E-94CB-EFB569E22ACC}" srcOrd="0" destOrd="0" presId="urn:microsoft.com/office/officeart/2009/3/layout/HorizontalOrganizationChart"/>
    <dgm:cxn modelId="{CF63D0F0-903F-4604-B243-40B993491609}" type="presParOf" srcId="{532BA0A4-E94D-4F2E-94CB-EFB569E22ACC}" destId="{B43D0D84-715B-48A7-A70B-7969AB24C7AD}" srcOrd="0" destOrd="0" presId="urn:microsoft.com/office/officeart/2009/3/layout/HorizontalOrganizationChart"/>
    <dgm:cxn modelId="{5E5F55EE-24C4-4A67-9317-9A01485971DE}" type="presParOf" srcId="{532BA0A4-E94D-4F2E-94CB-EFB569E22ACC}" destId="{EF0E5F6D-1110-410B-8A99-3F9CF58303F9}" srcOrd="1" destOrd="0" presId="urn:microsoft.com/office/officeart/2009/3/layout/HorizontalOrganizationChart"/>
    <dgm:cxn modelId="{C2CC8A5F-89DE-417F-91BA-2BDCB455C1EA}" type="presParOf" srcId="{15F52E33-734A-47D9-9CA3-AEFADCFE96DB}" destId="{D366B007-307B-4FCE-B554-7F2B59B826BF}" srcOrd="1" destOrd="0" presId="urn:microsoft.com/office/officeart/2009/3/layout/HorizontalOrganizationChart"/>
    <dgm:cxn modelId="{B07B7581-8317-45D4-B5CB-790695332B6E}" type="presParOf" srcId="{15F52E33-734A-47D9-9CA3-AEFADCFE96DB}" destId="{21FBE76F-549F-4812-BC83-B3B11B17D47A}" srcOrd="2" destOrd="0" presId="urn:microsoft.com/office/officeart/2009/3/layout/HorizontalOrganizationChart"/>
    <dgm:cxn modelId="{E3DC726F-6BAF-4F0F-B242-BBABB2FA9EC5}" type="presParOf" srcId="{72B0C721-DDCF-4AB8-BBE5-D37857700BA8}" destId="{9B69B8CD-4887-4C89-95A1-1516726E36C0}" srcOrd="12" destOrd="0" presId="urn:microsoft.com/office/officeart/2009/3/layout/HorizontalOrganizationChart"/>
    <dgm:cxn modelId="{7AC60A59-D40A-414D-BAE7-D1C4A5C6AB13}" type="presParOf" srcId="{72B0C721-DDCF-4AB8-BBE5-D37857700BA8}" destId="{9A29D104-BB17-43FC-989D-6ED6F18B6238}" srcOrd="13" destOrd="0" presId="urn:microsoft.com/office/officeart/2009/3/layout/HorizontalOrganizationChart"/>
    <dgm:cxn modelId="{DF5AF2EA-3826-488F-8B2E-CC9EEF6AA435}" type="presParOf" srcId="{9A29D104-BB17-43FC-989D-6ED6F18B6238}" destId="{3A4CA14F-B648-4019-AA72-08306B6C3BDC}" srcOrd="0" destOrd="0" presId="urn:microsoft.com/office/officeart/2009/3/layout/HorizontalOrganizationChart"/>
    <dgm:cxn modelId="{44A3BCF9-EDD4-452C-87B3-526CF636D175}" type="presParOf" srcId="{3A4CA14F-B648-4019-AA72-08306B6C3BDC}" destId="{97602CC2-1E24-4F29-B809-DB8E9568AA7E}" srcOrd="0" destOrd="0" presId="urn:microsoft.com/office/officeart/2009/3/layout/HorizontalOrganizationChart"/>
    <dgm:cxn modelId="{2A6F50CA-AE2E-41AF-9FE4-208EB56A65C4}" type="presParOf" srcId="{3A4CA14F-B648-4019-AA72-08306B6C3BDC}" destId="{00630DFD-92A4-4ED8-8A39-95CE61B30A0C}" srcOrd="1" destOrd="0" presId="urn:microsoft.com/office/officeart/2009/3/layout/HorizontalOrganizationChart"/>
    <dgm:cxn modelId="{975D6360-2A3E-487C-B995-10B6EB92A4DA}" type="presParOf" srcId="{9A29D104-BB17-43FC-989D-6ED6F18B6238}" destId="{73B82389-42C6-49F3-9D0B-575721D1E65B}" srcOrd="1" destOrd="0" presId="urn:microsoft.com/office/officeart/2009/3/layout/HorizontalOrganizationChart"/>
    <dgm:cxn modelId="{25EE093D-E6B6-4A5F-A056-B5161A22EDDE}" type="presParOf" srcId="{9A29D104-BB17-43FC-989D-6ED6F18B6238}" destId="{E4D6F0E5-B8C8-47B9-9349-BFB9AE6D509F}" srcOrd="2" destOrd="0" presId="urn:microsoft.com/office/officeart/2009/3/layout/HorizontalOrganizationChart"/>
    <dgm:cxn modelId="{3CDE40FA-99D5-461C-A28B-AF1C3316DE48}" type="presParOf" srcId="{72B0C721-DDCF-4AB8-BBE5-D37857700BA8}" destId="{E5762BB6-899D-4B64-8AE5-2DF1C1EDFAE1}" srcOrd="14" destOrd="0" presId="urn:microsoft.com/office/officeart/2009/3/layout/HorizontalOrganizationChart"/>
    <dgm:cxn modelId="{123A4CED-30D7-41AF-9C05-FAAF85CF5382}" type="presParOf" srcId="{72B0C721-DDCF-4AB8-BBE5-D37857700BA8}" destId="{7182C506-A983-411A-B095-44F80506D530}" srcOrd="15" destOrd="0" presId="urn:microsoft.com/office/officeart/2009/3/layout/HorizontalOrganizationChart"/>
    <dgm:cxn modelId="{3DB43268-6954-4359-B583-611B0BF6CF9C}" type="presParOf" srcId="{7182C506-A983-411A-B095-44F80506D530}" destId="{DF597333-5533-4DD4-A3F4-9261B03D98C0}" srcOrd="0" destOrd="0" presId="urn:microsoft.com/office/officeart/2009/3/layout/HorizontalOrganizationChart"/>
    <dgm:cxn modelId="{A7BC8846-8575-495A-899D-D66B3DAA6A08}" type="presParOf" srcId="{DF597333-5533-4DD4-A3F4-9261B03D98C0}" destId="{053A3ECE-B274-44BE-8883-95D5E09A7958}" srcOrd="0" destOrd="0" presId="urn:microsoft.com/office/officeart/2009/3/layout/HorizontalOrganizationChart"/>
    <dgm:cxn modelId="{DE011965-E989-4F02-A05F-3A130A5DD139}" type="presParOf" srcId="{DF597333-5533-4DD4-A3F4-9261B03D98C0}" destId="{EA671523-91F7-4936-A503-7DC0DAD5E593}" srcOrd="1" destOrd="0" presId="urn:microsoft.com/office/officeart/2009/3/layout/HorizontalOrganizationChart"/>
    <dgm:cxn modelId="{1E46BA9F-D50D-4B3A-816F-512277ADB8B2}" type="presParOf" srcId="{7182C506-A983-411A-B095-44F80506D530}" destId="{61166749-A3EA-4F5C-9E7B-9838F83DFDCE}" srcOrd="1" destOrd="0" presId="urn:microsoft.com/office/officeart/2009/3/layout/HorizontalOrganizationChart"/>
    <dgm:cxn modelId="{4619EF33-6AFB-497C-B487-382478967E14}" type="presParOf" srcId="{7182C506-A983-411A-B095-44F80506D530}" destId="{34D74169-830E-4E0C-8F62-D48203FE08A9}" srcOrd="2" destOrd="0" presId="urn:microsoft.com/office/officeart/2009/3/layout/HorizontalOrganizationChart"/>
    <dgm:cxn modelId="{00F1697F-D1DE-4B7D-9F4B-2F6FAFF3432D}" type="presParOf" srcId="{72B0C721-DDCF-4AB8-BBE5-D37857700BA8}" destId="{46429292-DCB7-4808-91B2-39230F820A6B}" srcOrd="16" destOrd="0" presId="urn:microsoft.com/office/officeart/2009/3/layout/HorizontalOrganizationChart"/>
    <dgm:cxn modelId="{BF7EA424-22D5-48E2-B463-FF8E056214D5}" type="presParOf" srcId="{72B0C721-DDCF-4AB8-BBE5-D37857700BA8}" destId="{00401A8A-61FD-44C2-BB19-F779E39B3790}" srcOrd="17" destOrd="0" presId="urn:microsoft.com/office/officeart/2009/3/layout/HorizontalOrganizationChart"/>
    <dgm:cxn modelId="{D111098E-6541-4814-AF39-4EC65AAFB66C}" type="presParOf" srcId="{00401A8A-61FD-44C2-BB19-F779E39B3790}" destId="{EC332DBB-B2DB-440B-B9D4-A594F18E4A5A}" srcOrd="0" destOrd="0" presId="urn:microsoft.com/office/officeart/2009/3/layout/HorizontalOrganizationChart"/>
    <dgm:cxn modelId="{6F1CBF46-D743-45C4-A2F5-4E0C41266888}" type="presParOf" srcId="{EC332DBB-B2DB-440B-B9D4-A594F18E4A5A}" destId="{F81440EF-1205-4E7A-8909-C7F85CB7D76D}" srcOrd="0" destOrd="0" presId="urn:microsoft.com/office/officeart/2009/3/layout/HorizontalOrganizationChart"/>
    <dgm:cxn modelId="{C0D7A57E-2EF9-4EF6-99CE-9A24F677CCAC}" type="presParOf" srcId="{EC332DBB-B2DB-440B-B9D4-A594F18E4A5A}" destId="{D06A340D-BE8E-4DCD-93A0-93940026002C}" srcOrd="1" destOrd="0" presId="urn:microsoft.com/office/officeart/2009/3/layout/HorizontalOrganizationChart"/>
    <dgm:cxn modelId="{76A42425-4E66-4C34-8990-69F7FC1DC7BB}" type="presParOf" srcId="{00401A8A-61FD-44C2-BB19-F779E39B3790}" destId="{D81E8D84-CCE1-47DC-B92F-E3F1A0F684EE}" srcOrd="1" destOrd="0" presId="urn:microsoft.com/office/officeart/2009/3/layout/HorizontalOrganizationChart"/>
    <dgm:cxn modelId="{CB392FF0-D017-40A3-A9DE-9756D2D9F309}" type="presParOf" srcId="{00401A8A-61FD-44C2-BB19-F779E39B3790}" destId="{30641BC3-89D3-49B7-8DE1-1F0AD0FE0A84}" srcOrd="2" destOrd="0" presId="urn:microsoft.com/office/officeart/2009/3/layout/HorizontalOrganizationChart"/>
    <dgm:cxn modelId="{6B72CC81-BC0A-4F98-AD20-9E0F57797148}" type="presParOf" srcId="{C3267168-1194-4ABB-BC8D-36674E2AAC52}" destId="{6F60D33E-F3B2-4586-BD3B-ED1A0AB69D94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429292-DCB7-4808-91B2-39230F820A6B}">
      <dsp:nvSpPr>
        <dsp:cNvPr id="0" name=""/>
        <dsp:cNvSpPr/>
      </dsp:nvSpPr>
      <dsp:spPr>
        <a:xfrm>
          <a:off x="1967244" y="4288600"/>
          <a:ext cx="330287" cy="2840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143" y="0"/>
              </a:lnTo>
              <a:lnTo>
                <a:pt x="165143" y="2840473"/>
              </a:lnTo>
              <a:lnTo>
                <a:pt x="330287" y="2840473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62BB6-899D-4B64-8AE5-2DF1C1EDFAE1}">
      <dsp:nvSpPr>
        <dsp:cNvPr id="0" name=""/>
        <dsp:cNvSpPr/>
      </dsp:nvSpPr>
      <dsp:spPr>
        <a:xfrm>
          <a:off x="1967244" y="4288600"/>
          <a:ext cx="330287" cy="2130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143" y="0"/>
              </a:lnTo>
              <a:lnTo>
                <a:pt x="165143" y="2130355"/>
              </a:lnTo>
              <a:lnTo>
                <a:pt x="330287" y="2130355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9B8CD-4887-4C89-95A1-1516726E36C0}">
      <dsp:nvSpPr>
        <dsp:cNvPr id="0" name=""/>
        <dsp:cNvSpPr/>
      </dsp:nvSpPr>
      <dsp:spPr>
        <a:xfrm>
          <a:off x="1967244" y="4288600"/>
          <a:ext cx="330287" cy="1420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143" y="0"/>
              </a:lnTo>
              <a:lnTo>
                <a:pt x="165143" y="1420236"/>
              </a:lnTo>
              <a:lnTo>
                <a:pt x="330287" y="1420236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BE07E-E44F-4B71-B653-915F0371EC8E}">
      <dsp:nvSpPr>
        <dsp:cNvPr id="0" name=""/>
        <dsp:cNvSpPr/>
      </dsp:nvSpPr>
      <dsp:spPr>
        <a:xfrm>
          <a:off x="1967244" y="4288600"/>
          <a:ext cx="330287" cy="710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5143" y="0"/>
              </a:lnTo>
              <a:lnTo>
                <a:pt x="165143" y="710118"/>
              </a:lnTo>
              <a:lnTo>
                <a:pt x="330287" y="710118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E3163-46CC-4E69-BF9B-666EA2726059}">
      <dsp:nvSpPr>
        <dsp:cNvPr id="0" name=""/>
        <dsp:cNvSpPr/>
      </dsp:nvSpPr>
      <dsp:spPr>
        <a:xfrm>
          <a:off x="1967244" y="4242880"/>
          <a:ext cx="33028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287" y="45720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678FDE-40A3-47FD-8869-B89FF0A53D1F}">
      <dsp:nvSpPr>
        <dsp:cNvPr id="0" name=""/>
        <dsp:cNvSpPr/>
      </dsp:nvSpPr>
      <dsp:spPr>
        <a:xfrm>
          <a:off x="1967244" y="3578482"/>
          <a:ext cx="330287" cy="710118"/>
        </a:xfrm>
        <a:custGeom>
          <a:avLst/>
          <a:gdLst/>
          <a:ahLst/>
          <a:cxnLst/>
          <a:rect l="0" t="0" r="0" b="0"/>
          <a:pathLst>
            <a:path>
              <a:moveTo>
                <a:pt x="0" y="710118"/>
              </a:moveTo>
              <a:lnTo>
                <a:pt x="165143" y="710118"/>
              </a:lnTo>
              <a:lnTo>
                <a:pt x="165143" y="0"/>
              </a:lnTo>
              <a:lnTo>
                <a:pt x="330287" y="0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BEAC1-0C47-4787-B1E1-FD05BCFDA826}">
      <dsp:nvSpPr>
        <dsp:cNvPr id="0" name=""/>
        <dsp:cNvSpPr/>
      </dsp:nvSpPr>
      <dsp:spPr>
        <a:xfrm>
          <a:off x="1967244" y="2868364"/>
          <a:ext cx="330287" cy="1420236"/>
        </a:xfrm>
        <a:custGeom>
          <a:avLst/>
          <a:gdLst/>
          <a:ahLst/>
          <a:cxnLst/>
          <a:rect l="0" t="0" r="0" b="0"/>
          <a:pathLst>
            <a:path>
              <a:moveTo>
                <a:pt x="0" y="1420236"/>
              </a:moveTo>
              <a:lnTo>
                <a:pt x="165143" y="1420236"/>
              </a:lnTo>
              <a:lnTo>
                <a:pt x="165143" y="0"/>
              </a:lnTo>
              <a:lnTo>
                <a:pt x="330287" y="0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2F568-19A0-461B-BFE1-C294CF01DD7F}">
      <dsp:nvSpPr>
        <dsp:cNvPr id="0" name=""/>
        <dsp:cNvSpPr/>
      </dsp:nvSpPr>
      <dsp:spPr>
        <a:xfrm>
          <a:off x="1967244" y="2158245"/>
          <a:ext cx="330287" cy="2130355"/>
        </a:xfrm>
        <a:custGeom>
          <a:avLst/>
          <a:gdLst/>
          <a:ahLst/>
          <a:cxnLst/>
          <a:rect l="0" t="0" r="0" b="0"/>
          <a:pathLst>
            <a:path>
              <a:moveTo>
                <a:pt x="0" y="2130355"/>
              </a:moveTo>
              <a:lnTo>
                <a:pt x="165143" y="2130355"/>
              </a:lnTo>
              <a:lnTo>
                <a:pt x="165143" y="0"/>
              </a:lnTo>
              <a:lnTo>
                <a:pt x="330287" y="0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25BEE-3B47-47FC-A11F-1A6B91DA51FE}">
      <dsp:nvSpPr>
        <dsp:cNvPr id="0" name=""/>
        <dsp:cNvSpPr/>
      </dsp:nvSpPr>
      <dsp:spPr>
        <a:xfrm>
          <a:off x="3948970" y="753978"/>
          <a:ext cx="333179" cy="694148"/>
        </a:xfrm>
        <a:custGeom>
          <a:avLst/>
          <a:gdLst/>
          <a:ahLst/>
          <a:cxnLst/>
          <a:rect l="0" t="0" r="0" b="0"/>
          <a:pathLst>
            <a:path>
              <a:moveTo>
                <a:pt x="0" y="694148"/>
              </a:moveTo>
              <a:lnTo>
                <a:pt x="168035" y="694148"/>
              </a:lnTo>
              <a:lnTo>
                <a:pt x="168035" y="0"/>
              </a:lnTo>
              <a:lnTo>
                <a:pt x="333179" y="0"/>
              </a:lnTo>
            </a:path>
          </a:pathLst>
        </a:custGeom>
        <a:noFill/>
        <a:ln w="10795" cap="flat" cmpd="sng" algn="ctr">
          <a:solidFill>
            <a:srgbClr val="92D050"/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73E72F-AE0B-4BC3-923F-5ADDCAEA398D}">
      <dsp:nvSpPr>
        <dsp:cNvPr id="0" name=""/>
        <dsp:cNvSpPr/>
      </dsp:nvSpPr>
      <dsp:spPr>
        <a:xfrm>
          <a:off x="1967244" y="1448127"/>
          <a:ext cx="330287" cy="2840473"/>
        </a:xfrm>
        <a:custGeom>
          <a:avLst/>
          <a:gdLst/>
          <a:ahLst/>
          <a:cxnLst/>
          <a:rect l="0" t="0" r="0" b="0"/>
          <a:pathLst>
            <a:path>
              <a:moveTo>
                <a:pt x="0" y="2840473"/>
              </a:moveTo>
              <a:lnTo>
                <a:pt x="165143" y="2840473"/>
              </a:lnTo>
              <a:lnTo>
                <a:pt x="165143" y="0"/>
              </a:lnTo>
              <a:lnTo>
                <a:pt x="330287" y="0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ACF5B-8519-4529-811B-222ABBF3DD55}">
      <dsp:nvSpPr>
        <dsp:cNvPr id="0" name=""/>
        <dsp:cNvSpPr/>
      </dsp:nvSpPr>
      <dsp:spPr>
        <a:xfrm>
          <a:off x="2144485" y="260035"/>
          <a:ext cx="91440" cy="500424"/>
        </a:xfrm>
        <a:custGeom>
          <a:avLst/>
          <a:gdLst/>
          <a:ahLst/>
          <a:cxnLst/>
          <a:rect l="0" t="0" r="0" b="0"/>
          <a:pathLst>
            <a:path>
              <a:moveTo>
                <a:pt x="109102" y="500424"/>
              </a:moveTo>
              <a:lnTo>
                <a:pt x="45720" y="0"/>
              </a:lnTo>
            </a:path>
          </a:pathLst>
        </a:custGeom>
        <a:noFill/>
        <a:ln w="1079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EFDC0-152E-40FF-ABBE-A42EC1D8A721}">
      <dsp:nvSpPr>
        <dsp:cNvPr id="0" name=""/>
        <dsp:cNvSpPr/>
      </dsp:nvSpPr>
      <dsp:spPr>
        <a:xfrm>
          <a:off x="602149" y="515295"/>
          <a:ext cx="1651438" cy="490330"/>
        </a:xfrm>
        <a:prstGeom prst="round2Same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Районный бюджет</a:t>
          </a:r>
        </a:p>
      </dsp:txBody>
      <dsp:txXfrm>
        <a:off x="626085" y="539231"/>
        <a:ext cx="1603566" cy="466394"/>
      </dsp:txXfrm>
    </dsp:sp>
    <dsp:sp modelId="{92609045-58A5-47E3-BC0E-350701D5273A}">
      <dsp:nvSpPr>
        <dsp:cNvPr id="0" name=""/>
        <dsp:cNvSpPr/>
      </dsp:nvSpPr>
      <dsp:spPr>
        <a:xfrm>
          <a:off x="2190205" y="23631"/>
          <a:ext cx="2416070" cy="472807"/>
        </a:xfrm>
        <a:prstGeom prst="snip2Same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Слонимского района</a:t>
          </a:r>
        </a:p>
      </dsp:txBody>
      <dsp:txXfrm>
        <a:off x="2229606" y="63032"/>
        <a:ext cx="2337268" cy="433406"/>
      </dsp:txXfrm>
    </dsp:sp>
    <dsp:sp modelId="{13FDD2AA-EA01-4EA8-AA6D-A4288806A87F}">
      <dsp:nvSpPr>
        <dsp:cNvPr id="0" name=""/>
        <dsp:cNvSpPr/>
      </dsp:nvSpPr>
      <dsp:spPr>
        <a:xfrm>
          <a:off x="2892" y="3779772"/>
          <a:ext cx="1964352" cy="1017657"/>
        </a:xfrm>
        <a:prstGeom prst="round2Diag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2">
                  <a:lumMod val="50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Бюджеты 9 сельских Советов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solidFill>
                <a:schemeClr val="tx2">
                  <a:lumMod val="50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52570" y="3829450"/>
        <a:ext cx="1864996" cy="918301"/>
      </dsp:txXfrm>
    </dsp:sp>
    <dsp:sp modelId="{266D8037-241A-4FFB-A2B6-3E4CAAC3A054}">
      <dsp:nvSpPr>
        <dsp:cNvPr id="0" name=""/>
        <dsp:cNvSpPr/>
      </dsp:nvSpPr>
      <dsp:spPr>
        <a:xfrm>
          <a:off x="2297532" y="1196282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Деревновский</a:t>
          </a:r>
        </a:p>
      </dsp:txBody>
      <dsp:txXfrm>
        <a:off x="2297532" y="1196282"/>
        <a:ext cx="1651438" cy="503688"/>
      </dsp:txXfrm>
    </dsp:sp>
    <dsp:sp modelId="{F74A6AF8-3341-4897-AF66-8AFD7DEBDA10}">
      <dsp:nvSpPr>
        <dsp:cNvPr id="0" name=""/>
        <dsp:cNvSpPr/>
      </dsp:nvSpPr>
      <dsp:spPr>
        <a:xfrm>
          <a:off x="4282150" y="502134"/>
          <a:ext cx="1651438" cy="503688"/>
        </a:xfrm>
        <a:prstGeom prst="round2SameRect">
          <a:avLst/>
        </a:prstGeom>
        <a:solidFill>
          <a:srgbClr val="92D050"/>
        </a:solidFill>
        <a:ln>
          <a:solidFill>
            <a:srgbClr val="92D050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сельсоветов:</a:t>
          </a:r>
        </a:p>
      </dsp:txBody>
      <dsp:txXfrm>
        <a:off x="4306738" y="526722"/>
        <a:ext cx="1602262" cy="479100"/>
      </dsp:txXfrm>
    </dsp:sp>
    <dsp:sp modelId="{E60A21DA-7AC4-4C2B-AC3C-C8009D4AF248}">
      <dsp:nvSpPr>
        <dsp:cNvPr id="0" name=""/>
        <dsp:cNvSpPr/>
      </dsp:nvSpPr>
      <dsp:spPr>
        <a:xfrm>
          <a:off x="2297532" y="1906401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Деревянчицкий</a:t>
          </a:r>
        </a:p>
      </dsp:txBody>
      <dsp:txXfrm>
        <a:off x="2297532" y="1906401"/>
        <a:ext cx="1651438" cy="503688"/>
      </dsp:txXfrm>
    </dsp:sp>
    <dsp:sp modelId="{D29EB807-C044-4971-9204-BEEDC1F5675C}">
      <dsp:nvSpPr>
        <dsp:cNvPr id="0" name=""/>
        <dsp:cNvSpPr/>
      </dsp:nvSpPr>
      <dsp:spPr>
        <a:xfrm>
          <a:off x="2297532" y="2616519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Жировичский</a:t>
          </a:r>
        </a:p>
      </dsp:txBody>
      <dsp:txXfrm>
        <a:off x="2297532" y="2616519"/>
        <a:ext cx="1651438" cy="503688"/>
      </dsp:txXfrm>
    </dsp:sp>
    <dsp:sp modelId="{7E1609F9-B170-407B-9CDE-0F2DF94585D6}">
      <dsp:nvSpPr>
        <dsp:cNvPr id="0" name=""/>
        <dsp:cNvSpPr/>
      </dsp:nvSpPr>
      <dsp:spPr>
        <a:xfrm>
          <a:off x="2297532" y="3326638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Мижевичский</a:t>
          </a:r>
        </a:p>
      </dsp:txBody>
      <dsp:txXfrm>
        <a:off x="2297532" y="3326638"/>
        <a:ext cx="1651438" cy="503688"/>
      </dsp:txXfrm>
    </dsp:sp>
    <dsp:sp modelId="{719A38A9-97CA-45E5-A90F-857D2F36A2C7}">
      <dsp:nvSpPr>
        <dsp:cNvPr id="0" name=""/>
        <dsp:cNvSpPr/>
      </dsp:nvSpPr>
      <dsp:spPr>
        <a:xfrm>
          <a:off x="2297532" y="4036756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Новодевятковичский</a:t>
          </a:r>
        </a:p>
      </dsp:txBody>
      <dsp:txXfrm>
        <a:off x="2297532" y="4036756"/>
        <a:ext cx="1651438" cy="503688"/>
      </dsp:txXfrm>
    </dsp:sp>
    <dsp:sp modelId="{B43D0D84-715B-48A7-A70B-7969AB24C7AD}">
      <dsp:nvSpPr>
        <dsp:cNvPr id="0" name=""/>
        <dsp:cNvSpPr/>
      </dsp:nvSpPr>
      <dsp:spPr>
        <a:xfrm>
          <a:off x="2297532" y="4746875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Озгиновичский</a:t>
          </a:r>
        </a:p>
      </dsp:txBody>
      <dsp:txXfrm>
        <a:off x="2297532" y="4746875"/>
        <a:ext cx="1651438" cy="503688"/>
      </dsp:txXfrm>
    </dsp:sp>
    <dsp:sp modelId="{97602CC2-1E24-4F29-B809-DB8E9568AA7E}">
      <dsp:nvSpPr>
        <dsp:cNvPr id="0" name=""/>
        <dsp:cNvSpPr/>
      </dsp:nvSpPr>
      <dsp:spPr>
        <a:xfrm>
          <a:off x="2297532" y="5456993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Озерницкий</a:t>
          </a:r>
        </a:p>
      </dsp:txBody>
      <dsp:txXfrm>
        <a:off x="2297532" y="5456993"/>
        <a:ext cx="1651438" cy="503688"/>
      </dsp:txXfrm>
    </dsp:sp>
    <dsp:sp modelId="{053A3ECE-B274-44BE-8883-95D5E09A7958}">
      <dsp:nvSpPr>
        <dsp:cNvPr id="0" name=""/>
        <dsp:cNvSpPr/>
      </dsp:nvSpPr>
      <dsp:spPr>
        <a:xfrm>
          <a:off x="2297532" y="6167112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Павловский</a:t>
          </a:r>
        </a:p>
      </dsp:txBody>
      <dsp:txXfrm>
        <a:off x="2297532" y="6167112"/>
        <a:ext cx="1651438" cy="503688"/>
      </dsp:txXfrm>
    </dsp:sp>
    <dsp:sp modelId="{F81440EF-1205-4E7A-8909-C7F85CB7D76D}">
      <dsp:nvSpPr>
        <dsp:cNvPr id="0" name=""/>
        <dsp:cNvSpPr/>
      </dsp:nvSpPr>
      <dsp:spPr>
        <a:xfrm>
          <a:off x="2297532" y="6877230"/>
          <a:ext cx="1651438" cy="50368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85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Сеньковщинский</a:t>
          </a:r>
        </a:p>
      </dsp:txBody>
      <dsp:txXfrm>
        <a:off x="2297532" y="6877230"/>
        <a:ext cx="1651438" cy="503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74FE-EA61-48D6-A6A3-26088384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Овсеец Светлана Петровна</dc:creator>
  <cp:keywords/>
  <dc:description/>
  <cp:lastModifiedBy>Семенюк Лилия Анатольевна</cp:lastModifiedBy>
  <cp:revision>7</cp:revision>
  <cp:lastPrinted>2024-03-27T12:33:00Z</cp:lastPrinted>
  <dcterms:created xsi:type="dcterms:W3CDTF">2024-03-27T12:39:00Z</dcterms:created>
  <dcterms:modified xsi:type="dcterms:W3CDTF">2024-03-28T05:48:00Z</dcterms:modified>
</cp:coreProperties>
</file>